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textAlignment w:val="center"/>
        <w:rPr>
          <w:rFonts w:cs="宋体" w:asciiTheme="majorEastAsia" w:hAnsiTheme="majorEastAsia" w:eastAsiaTheme="majorEastAsia"/>
          <w:b/>
          <w:bCs/>
          <w:color w:val="000000"/>
          <w:spacing w:val="0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左贡县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财政局2025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年度部门预算</w:t>
      </w:r>
    </w:p>
    <w:p>
      <w:pPr>
        <w:pStyle w:val="12"/>
        <w:spacing w:line="320" w:lineRule="exact"/>
        <w:ind w:left="420" w:firstLine="0" w:firstLineChars="0"/>
        <w:textAlignment w:val="center"/>
        <w:rPr>
          <w:rFonts w:cs="宋体" w:asciiTheme="minorEastAsia" w:hAnsiTheme="minorEastAsia" w:eastAsiaTheme="minorEastAsia"/>
          <w:b/>
          <w:bCs/>
          <w:color w:val="000000"/>
          <w:spacing w:val="0"/>
          <w:kern w:val="0"/>
        </w:rPr>
      </w:pPr>
    </w:p>
    <w:p>
      <w:pPr>
        <w:spacing w:line="576" w:lineRule="exact"/>
        <w:jc w:val="center"/>
        <w:textAlignment w:val="center"/>
        <w:rPr>
          <w:rFonts w:cs="宋体" w:asciiTheme="minorEastAsia" w:hAnsiTheme="minorEastAsia" w:eastAsiaTheme="minorEastAsia"/>
          <w:b/>
          <w:color w:val="000000"/>
          <w:spacing w:val="0"/>
          <w:kern w:val="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pacing w:val="0"/>
          <w:kern w:val="0"/>
        </w:rPr>
        <w:t>目  录</w:t>
      </w:r>
    </w:p>
    <w:p>
      <w:pPr>
        <w:spacing w:line="576" w:lineRule="exact"/>
        <w:ind w:firstLine="643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/>
          <w:bCs/>
          <w:color w:val="000000"/>
          <w:spacing w:val="0"/>
          <w:kern w:val="0"/>
        </w:rPr>
        <w:t>第一部分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 xml:space="preserve">  左贡县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  <w:lang w:val="en-US" w:eastAsia="zh-CN"/>
        </w:rPr>
        <w:t>**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概况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一、主要职能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二、单位构成</w:t>
      </w:r>
    </w:p>
    <w:p>
      <w:pPr>
        <w:spacing w:line="576" w:lineRule="exact"/>
        <w:ind w:firstLine="643" w:firstLineChars="200"/>
        <w:jc w:val="left"/>
        <w:textAlignment w:val="center"/>
        <w:rPr>
          <w:rFonts w:ascii="仿宋" w:hAnsi="仿宋" w:eastAsia="仿宋" w:cs="宋体"/>
          <w:bCs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/>
          <w:bCs/>
          <w:color w:val="000000"/>
          <w:spacing w:val="0"/>
          <w:kern w:val="0"/>
        </w:rPr>
        <w:t>第二部分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 xml:space="preserve">  左贡县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  <w:lang w:val="en-US" w:eastAsia="zh-CN"/>
        </w:rPr>
        <w:t>**2025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年度部门预算</w:t>
      </w:r>
    </w:p>
    <w:p>
      <w:pPr>
        <w:spacing w:line="576" w:lineRule="exact"/>
        <w:ind w:firstLine="643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/>
          <w:bCs/>
          <w:color w:val="000000"/>
          <w:spacing w:val="0"/>
          <w:kern w:val="0"/>
        </w:rPr>
        <w:t xml:space="preserve">第三部分 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 xml:space="preserve"> 左贡县</w:t>
      </w:r>
      <w:r>
        <w:rPr>
          <w:rFonts w:hint="eastAsia" w:ascii="仿宋" w:hAnsi="仿宋" w:eastAsia="仿宋" w:cs="宋体"/>
          <w:bCs/>
          <w:color w:val="000000"/>
          <w:spacing w:val="0"/>
          <w:kern w:val="0"/>
          <w:lang w:val="en-US" w:eastAsia="zh-CN"/>
        </w:rPr>
        <w:t>**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年度预算情况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一、财政拨款收支情况说明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二、一般公共预算财政拨款情况说明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三、一般公共预算财政拨款具体使用情况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四、其他支出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五、年度收支预算情况总体说明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六、年度收入预算情况说明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七、年度支出预算情况说明</w:t>
      </w:r>
    </w:p>
    <w:p>
      <w:pPr>
        <w:spacing w:line="576" w:lineRule="exac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bCs/>
          <w:color w:val="000000"/>
          <w:spacing w:val="0"/>
          <w:kern w:val="0"/>
        </w:rPr>
        <w:t>八、“三公”经费预算情况说明</w:t>
      </w:r>
    </w:p>
    <w:p>
      <w:pPr>
        <w:spacing w:line="555" w:lineRule="atLeast"/>
        <w:ind w:firstLine="495"/>
        <w:jc w:val="left"/>
        <w:textAlignment w:val="center"/>
        <w:rPr>
          <w:rFonts w:ascii="黑体" w:hAnsi="黑体" w:eastAsia="黑体" w:cs="宋体"/>
          <w:color w:val="000000"/>
          <w:spacing w:val="0"/>
          <w:kern w:val="0"/>
        </w:rPr>
      </w:pPr>
      <w:r>
        <w:rPr>
          <w:rFonts w:hint="eastAsia" w:ascii="黑体" w:hAnsi="黑体" w:eastAsia="黑体" w:cs="宋体"/>
          <w:color w:val="000000"/>
          <w:spacing w:val="0"/>
          <w:kern w:val="0"/>
        </w:rPr>
        <w:t>第一部分</w:t>
      </w:r>
    </w:p>
    <w:p>
      <w:pPr>
        <w:spacing w:line="555" w:lineRule="atLeas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左贡县财政局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概况</w:t>
      </w:r>
    </w:p>
    <w:p>
      <w:pPr>
        <w:spacing w:line="555" w:lineRule="atLeas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一、主要职能</w:t>
      </w:r>
    </w:p>
    <w:p>
      <w:pPr>
        <w:pStyle w:val="2"/>
        <w:spacing w:before="177" w:line="308" w:lineRule="auto"/>
        <w:ind w:left="144" w:right="34" w:firstLine="76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(一)贯彻执行国家、自治区、昌都市财政税收有关方  针政策和法律法规，拟订全县财税发展规划和改革方案并组  织实施；分析预测宏观经济形势，参与制定全县宏观经济政  策，提出运用财税政策宏观调控和综合平衡社会财力的建议； 贯彻执行鼓励公益事业发展的财税政策；贯彻执行财政、财</w:t>
      </w:r>
      <w:r>
        <w:rPr>
          <w:rFonts w:hint="eastAsia" w:cs="宋体"/>
          <w:color w:val="000000"/>
          <w:spacing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务、会计、有关国有资产管理等地方性法规。</w:t>
      </w:r>
      <w:bookmarkStart w:id="0" w:name="_GoBack"/>
      <w:bookmarkEnd w:id="0"/>
    </w:p>
    <w:p>
      <w:pPr>
        <w:pStyle w:val="2"/>
        <w:spacing w:before="181" w:line="313" w:lineRule="auto"/>
        <w:ind w:right="208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(二)负责县本级各项财政收支管理；编制年度县本级 预决算草案并组织执行；受县人民政府委托，向县人民代表 大会及其常委会报告全县和县本级年度预算、执行和决算情 况；组织制定经费开支标准、定额，审核批复部门(单位) 的年度预决算；负责政府投资基金县财政出资的预算管理和 国有资产管理；组织实施县本级政府预决算公开；改革完善 县一级对乡(镇)财政管理体制；指导乡(镇)财政管理工作。</w:t>
      </w:r>
    </w:p>
    <w:p>
      <w:pPr>
        <w:pStyle w:val="2"/>
        <w:spacing w:before="97" w:line="341" w:lineRule="auto"/>
        <w:ind w:right="230" w:firstLine="640" w:firstLineChars="200"/>
        <w:jc w:val="both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(三)按分工负责政府非税收入管理；负责政府性基金 管理，按规定管理行政事业性收费；管理财政票据；贯彻执 行全县彩票管理制度和办法；监管彩票市场；按规定管理彩 票资金。</w:t>
      </w:r>
    </w:p>
    <w:p>
      <w:pPr>
        <w:pStyle w:val="2"/>
        <w:spacing w:before="7" w:line="308" w:lineRule="auto"/>
        <w:ind w:right="247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(四)组织实施国库管理制度、国库集中收付制度；指 导实施国库业务；按规定开展国库现金管理工作；组织编制 并上报政府财务报告；负责政府采购制度的制定、执行，拟 订年度全县政府集中采购目录和采购限额标准，负责政府采 购管理相关工作；根据全县信息化建设战略，拟订财政信息 化建设中长期规划，规范管理全县财政信息化建设。</w:t>
      </w:r>
    </w:p>
    <w:p>
      <w:pPr>
        <w:pStyle w:val="2"/>
        <w:spacing w:before="186" w:line="291" w:lineRule="auto"/>
        <w:ind w:right="175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(五)负责地方政府债务管理；拟订和执行地方政府债 务管理的制度、政策；负责地方政府债务余额限额管理，组 织开展地方债券发行等工作；承担国外贷款管理有关工作。</w:t>
      </w:r>
    </w:p>
    <w:p>
      <w:pPr>
        <w:pStyle w:val="2"/>
        <w:spacing w:before="170" w:line="306" w:lineRule="auto"/>
        <w:ind w:right="25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(六)牵头编制国有资产管理情况报告；根据县人民政 府授权，集中统一履行县所属国有金融资本出资人职责，代 表县人民政府对国有企业履行出资人职责；负责拟订县行政 事业单位国有资产管理制度并组织实施，执行统一规定的开 支标准和支出政策。</w:t>
      </w:r>
    </w:p>
    <w:p>
      <w:pPr>
        <w:pStyle w:val="2"/>
        <w:spacing w:before="170" w:line="306" w:lineRule="auto"/>
        <w:ind w:right="25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(七)负责审核并汇总编制全县国有资本经营预决算草 案，监督执行国有资本经营预算的制度和办法，收取县本级 企业国有资本收益；指导各乡(镇)国有资本经营预算工作； 贯彻落实企业财务制度和企业财务会计报告编制办法；按规 定权限管理金融类企业国有资产；参与拟订国有企业管理相 关制度；依法管理资产评估工作。</w:t>
      </w:r>
    </w:p>
    <w:p>
      <w:pPr>
        <w:pStyle w:val="2"/>
        <w:spacing w:before="98" w:line="307" w:lineRule="auto"/>
        <w:ind w:right="15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(八)贯彻执行社会保险政策；会同有关部门拟订和执 行社会保险资金(基金)财政补助政策和财务管理制度，管 理社会保险资金(基金)收支、投资运营和保值增值工作； 审核汇总编制全县社会保险基金预决算草案；管理全县相关 的财政社会保险资金，就业及医疗卫生专项资金支出，承担 社会保险基金财政监管工作。</w:t>
      </w:r>
    </w:p>
    <w:p>
      <w:pPr>
        <w:pStyle w:val="2"/>
        <w:spacing w:before="181" w:line="305" w:lineRule="auto"/>
        <w:ind w:right="222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(九)负责管理县财政的经济发展支出、县本级政府性 投资项目的财政拨款；贯彻执行基建投资有关政策，制定基 建财务管理制度；负责有关政策性补贴和专项储备资金财政 管理工作；负责县本级农牧业综合开发资金管理工作，参与 农牧业综合开发项目相关工作。</w:t>
      </w:r>
    </w:p>
    <w:p>
      <w:pPr>
        <w:pStyle w:val="2"/>
        <w:spacing w:before="183" w:line="291" w:lineRule="auto"/>
        <w:ind w:right="155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(十)会同有关部门拟订国有土地、矿产等国有资源收 入政策，参与国有土地、矿产等国有资源使用政策的研究和 制度改革；参与住房保障政策研究，管理住房改革预算资金。</w:t>
      </w:r>
    </w:p>
    <w:p>
      <w:pPr>
        <w:pStyle w:val="2"/>
        <w:spacing w:before="167" w:line="300" w:lineRule="auto"/>
        <w:ind w:right="15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(十一)负责管理全县会计工作，监督和规范会计行为， 组织实施国家统一的会计制度，指导和监督注册会计师、会 计师事务所、代理记账行业的业务，指导和管理社会审计； 办理相关行政许可事项的审批和注册备案工作。</w:t>
      </w:r>
    </w:p>
    <w:p>
      <w:pPr>
        <w:pStyle w:val="2"/>
        <w:spacing w:before="163" w:line="306" w:lineRule="auto"/>
        <w:ind w:right="15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(十二)监督财税法规政策的执行情况、预算管理工作， 监测财政运行等情况，反映财政收支管理中的重大问题，提 出加强财政管理的政策建议，依法依规处理财政违法违规行 为。</w:t>
      </w:r>
    </w:p>
    <w:p>
      <w:pPr>
        <w:pStyle w:val="2"/>
        <w:spacing w:before="142" w:line="287" w:lineRule="auto"/>
        <w:ind w:right="233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(十三)贯彻执行国家、自治区和昌都市有关国有资产 管理的法律法规和政府规章。</w:t>
      </w:r>
    </w:p>
    <w:p>
      <w:pPr>
        <w:pStyle w:val="2"/>
        <w:spacing w:before="97" w:line="302" w:lineRule="auto"/>
        <w:ind w:right="14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(十四)根据县人民政府授权，依法履行出资人职责， 以管资本为主加强国有资产监管，依法落实企业法人财产权  和经营自主权，承担监督所监管企业国有资产保值增值的责 任。</w:t>
      </w:r>
    </w:p>
    <w:p>
      <w:pPr>
        <w:pStyle w:val="2"/>
        <w:spacing w:before="156" w:line="290" w:lineRule="auto"/>
        <w:ind w:right="15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(十五)围绕国家产业发展总体部署和县产业发展规划， 提出县级国有资本调整规划、产业及企业重组整合方案，推  动国有经济布局结构的调整优化和国有资本的有序进退。</w:t>
      </w:r>
    </w:p>
    <w:p>
      <w:pPr>
        <w:pStyle w:val="2"/>
        <w:spacing w:before="176" w:line="299" w:lineRule="auto"/>
        <w:ind w:right="253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(十六)分类指导推进国有企业改革，完善现代企业制 度，健全公司法人治理结构；推进所监管企业混合所有制改 革；负责国有资本授权经营体制改革，按权限承担改组组建 国有资本投资、运营公司有关工作。</w:t>
      </w:r>
    </w:p>
    <w:p>
      <w:pPr>
        <w:pStyle w:val="2"/>
        <w:spacing w:before="185" w:line="306" w:lineRule="auto"/>
        <w:ind w:right="266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(十七)会同其他股东制定、修改所监管企业章程，审 议董事会、企业内设监事会报告；承担所监管企业财务预决 算报告审核等工作；根据有关法律法规和权限，决定所监管 企业合并、分立、改制等关系国有资产出资人权益的重大事 项。</w:t>
      </w:r>
    </w:p>
    <w:p>
      <w:pPr>
        <w:pStyle w:val="2"/>
        <w:spacing w:before="176" w:line="300" w:lineRule="auto"/>
        <w:ind w:right="189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(十八)按照管理权限和法定程序对所监管企业负责人 进行任免、考核、奖惩；建立符合社会主义市场经济体制和 现代企业制度要求的选人、用人机制；推行职业经理人制度； 指导所监管企业人才队伍建设。</w:t>
      </w:r>
    </w:p>
    <w:p>
      <w:pPr>
        <w:pStyle w:val="2"/>
        <w:spacing w:before="177" w:line="305" w:lineRule="auto"/>
        <w:ind w:right="271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(十九)组织所监管企业上交国有资本收益，参与制定 国有资本经营预算有关管理制度和办法，提出所监管企业年 度国有资本经营预算建议草案并监督执行；监测国有资本运 营质量，监督企业财务状况；指导监督县(区)国有资产监督管理工作。</w:t>
      </w:r>
    </w:p>
    <w:p>
      <w:pPr>
        <w:pStyle w:val="2"/>
        <w:spacing w:before="209" w:line="304" w:lineRule="auto"/>
        <w:ind w:right="211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(二十)负责对所监管企业负责人履职情况、 “三重一 大”事项等开展监督检查，对国有资产流失或有关事项实施 稽查，对违规经营投资造成国有资产损失的企业负责人实施 责任追究。</w:t>
      </w:r>
    </w:p>
    <w:p>
      <w:pPr>
        <w:pStyle w:val="2"/>
        <w:spacing w:before="206" w:line="275" w:lineRule="auto"/>
        <w:ind w:right="204" w:firstLine="640" w:firstLineChars="200"/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(二十一)指导所监管企业的安全生产监督管理和应急 处置工作。</w:t>
      </w:r>
    </w:p>
    <w:p>
      <w:pPr>
        <w:pStyle w:val="2"/>
        <w:spacing w:before="205" w:line="222" w:lineRule="auto"/>
        <w:ind w:firstLine="640" w:firstLineChars="200"/>
        <w:rPr>
          <w:sz w:val="29"/>
          <w:szCs w:val="29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sz w:val="32"/>
          <w:szCs w:val="32"/>
          <w:lang w:val="en-US" w:eastAsia="zh-CN" w:bidi="ar-SA"/>
        </w:rPr>
        <w:t>(二十二)完成县委、县政府交办的其他任务。</w:t>
      </w:r>
    </w:p>
    <w:p>
      <w:pPr>
        <w:spacing w:line="555" w:lineRule="exact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二、单位构成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左贡县财政局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2025年部门独立核算机构1个。</w:t>
      </w:r>
    </w:p>
    <w:p>
      <w:pPr>
        <w:spacing w:line="555" w:lineRule="atLeast"/>
        <w:ind w:firstLine="495"/>
        <w:jc w:val="left"/>
        <w:textAlignment w:val="center"/>
        <w:rPr>
          <w:rFonts w:hint="eastAsia" w:ascii="黑体" w:hAnsi="黑体" w:eastAsia="黑体" w:cs="宋体"/>
          <w:bCs/>
          <w:color w:val="000000"/>
          <w:spacing w:val="0"/>
          <w:kern w:val="0"/>
        </w:rPr>
      </w:pPr>
      <w:r>
        <w:rPr>
          <w:rFonts w:hint="eastAsia" w:ascii="黑体" w:hAnsi="黑体" w:eastAsia="黑体" w:cs="宋体"/>
          <w:bCs/>
          <w:color w:val="000000"/>
          <w:spacing w:val="0"/>
          <w:kern w:val="0"/>
        </w:rPr>
        <w:t>第二部分</w:t>
      </w:r>
    </w:p>
    <w:p>
      <w:pPr>
        <w:spacing w:line="555" w:lineRule="atLeast"/>
        <w:ind w:firstLine="640" w:firstLineChars="200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左贡县财政局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年度预算明细表(表格见附件)</w:t>
      </w:r>
    </w:p>
    <w:p>
      <w:pPr>
        <w:spacing w:line="576" w:lineRule="exact"/>
        <w:ind w:firstLine="495"/>
        <w:jc w:val="left"/>
        <w:textAlignment w:val="center"/>
        <w:rPr>
          <w:rFonts w:ascii="黑体" w:hAnsi="黑体" w:eastAsia="黑体" w:cs="宋体"/>
          <w:color w:val="000000"/>
          <w:spacing w:val="0"/>
          <w:kern w:val="0"/>
        </w:rPr>
      </w:pPr>
      <w:r>
        <w:rPr>
          <w:rFonts w:hint="eastAsia" w:ascii="黑体" w:hAnsi="黑体" w:eastAsia="黑体" w:cs="宋体"/>
          <w:bCs/>
          <w:color w:val="000000"/>
          <w:spacing w:val="0"/>
          <w:kern w:val="0"/>
        </w:rPr>
        <w:t>第三部分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左贡县财政局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年度预算情况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一、财政拨款收支情况说明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</w:rPr>
        <w:t>2025年度财政拨款总收入620.06万元，收入来源为财政全额拨款，2025年度部门预算没有政府性基金预算财政拨款，政府性基金预算支出表无任何数据；2025年度财政拨款总支出620.06万元，当年财政拨款收支持平。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二、一般公共预算财政拨款情况说明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年度一般公共预算当年财政拨款总额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万元，其中：基本支出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300.06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万元，占当年一般公共预算财政拨款总额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48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%；项目支出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320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万元。</w:t>
      </w:r>
    </w:p>
    <w:p>
      <w:pPr>
        <w:spacing w:line="576" w:lineRule="exact"/>
        <w:ind w:firstLine="495"/>
        <w:jc w:val="left"/>
        <w:textAlignment w:val="center"/>
        <w:rPr>
          <w:rFonts w:hint="eastAsia"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</w:rPr>
        <w:t>基本支出包括：工资福利支出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281.56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万元；商品和服务支出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18.5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万元；对个人和家庭补助支出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万元。</w:t>
      </w:r>
    </w:p>
    <w:p>
      <w:pPr>
        <w:spacing w:line="576" w:lineRule="exact"/>
        <w:ind w:firstLine="495"/>
        <w:jc w:val="left"/>
        <w:textAlignment w:val="center"/>
        <w:rPr>
          <w:rFonts w:hint="eastAsia"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</w:rPr>
        <w:t>三、一般公共预算财政拨款具体使用情况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年度一般公共预算当年财政拨款总额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万元，具体使用情况详见附表。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四、其他支出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年度部门预算没有其他支出财政预算拨款。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五、年度收支预算情况总体说明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年度财政拨款预算总收入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万元，收入来源为财政全额拨款，</w:t>
      </w: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年度部门预算没有政府性基金预算财政拨款，政府性基金预算支出表为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0万元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；</w:t>
      </w: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年度财政拨款预算总支出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万元，当年财政拨款收支持平。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六、年度收入预算情况说明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年度部门预算财政拨款总收入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万元，包括基本支出预算收入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300.06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万元，项目支出预算收入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320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七、年度支出预算情况说明</w:t>
      </w:r>
    </w:p>
    <w:p>
      <w:pPr>
        <w:spacing w:line="576" w:lineRule="exact"/>
        <w:ind w:firstLine="495"/>
        <w:jc w:val="left"/>
        <w:textAlignment w:val="center"/>
        <w:rPr>
          <w:rFonts w:ascii="仿宋" w:hAnsi="仿宋" w:eastAsia="仿宋" w:cs="宋体"/>
          <w:color w:val="000000"/>
          <w:spacing w:val="0"/>
          <w:kern w:val="0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eastAsia="zh-CN"/>
        </w:rPr>
        <w:t>2025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年度一般公共预算当年财政拨款总额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620.06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万元，其中：基本支出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300.06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万元；项目支出</w:t>
      </w: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320</w:t>
      </w:r>
      <w:r>
        <w:rPr>
          <w:rFonts w:hint="eastAsia" w:ascii="仿宋" w:hAnsi="仿宋" w:eastAsia="仿宋" w:cs="宋体"/>
          <w:color w:val="000000"/>
          <w:spacing w:val="0"/>
          <w:kern w:val="0"/>
        </w:rPr>
        <w:t>万元。</w:t>
      </w:r>
    </w:p>
    <w:p>
      <w:pPr>
        <w:spacing w:line="576" w:lineRule="exact"/>
        <w:ind w:firstLine="495"/>
        <w:jc w:val="left"/>
        <w:textAlignment w:val="center"/>
        <w:rPr>
          <w:rFonts w:ascii="楷体" w:hAnsi="楷体" w:eastAsia="楷体" w:cs="宋体"/>
          <w:color w:val="000000"/>
          <w:spacing w:val="0"/>
          <w:kern w:val="0"/>
        </w:rPr>
      </w:pPr>
      <w:r>
        <w:rPr>
          <w:rFonts w:hint="eastAsia" w:ascii="楷体" w:hAnsi="楷体" w:eastAsia="楷体" w:cs="宋体"/>
          <w:color w:val="000000"/>
          <w:spacing w:val="0"/>
          <w:kern w:val="0"/>
        </w:rPr>
        <w:t>八、 “三公”经费预算情况说明</w:t>
      </w:r>
    </w:p>
    <w:p>
      <w:pPr>
        <w:spacing w:line="555" w:lineRule="exact"/>
        <w:ind w:firstLine="495"/>
        <w:jc w:val="left"/>
        <w:textAlignment w:val="center"/>
        <w:rPr>
          <w:rFonts w:hint="default" w:eastAsia="仿宋_GB2312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0"/>
          <w:kern w:val="0"/>
          <w:lang w:val="en-US" w:eastAsia="zh-CN"/>
        </w:rPr>
        <w:t>2025年度“三公”经费预算总额5万元，其中：公务用车购置及运行维护费5万元，公务接待费0万元，无因公出国境费。</w:t>
      </w:r>
    </w:p>
    <w:p>
      <w:pPr>
        <w:spacing w:line="555" w:lineRule="exact"/>
        <w:jc w:val="left"/>
        <w:textAlignment w:val="center"/>
      </w:pPr>
    </w:p>
    <w:sectPr>
      <w:footerReference r:id="rId3" w:type="default"/>
      <w:footerReference r:id="rId4" w:type="even"/>
      <w:pgSz w:w="11906" w:h="16838"/>
      <w:pgMar w:top="1871" w:right="1474" w:bottom="1871" w:left="1588" w:header="851" w:footer="1588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sdt>
      <w:sdtPr>
        <w:id w:val="53154165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08536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ind w:firstLine="344" w:firstLineChars="2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0"/>
    <w:rsid w:val="0012456F"/>
    <w:rsid w:val="00186DE5"/>
    <w:rsid w:val="001C7D91"/>
    <w:rsid w:val="001F4A9F"/>
    <w:rsid w:val="00202008"/>
    <w:rsid w:val="00256813"/>
    <w:rsid w:val="00291575"/>
    <w:rsid w:val="00364B42"/>
    <w:rsid w:val="004142DA"/>
    <w:rsid w:val="00414A15"/>
    <w:rsid w:val="00426DBF"/>
    <w:rsid w:val="004337F9"/>
    <w:rsid w:val="00486984"/>
    <w:rsid w:val="004C7CE2"/>
    <w:rsid w:val="00516F5C"/>
    <w:rsid w:val="00517E3B"/>
    <w:rsid w:val="00530473"/>
    <w:rsid w:val="00574C55"/>
    <w:rsid w:val="00592ADF"/>
    <w:rsid w:val="005B6A4E"/>
    <w:rsid w:val="00610809"/>
    <w:rsid w:val="006513DA"/>
    <w:rsid w:val="006A122F"/>
    <w:rsid w:val="006A692C"/>
    <w:rsid w:val="006B0CCF"/>
    <w:rsid w:val="006C0B68"/>
    <w:rsid w:val="006F2785"/>
    <w:rsid w:val="00704576"/>
    <w:rsid w:val="00771AE6"/>
    <w:rsid w:val="007D194C"/>
    <w:rsid w:val="00804417"/>
    <w:rsid w:val="008D3FBD"/>
    <w:rsid w:val="00A04D55"/>
    <w:rsid w:val="00A37EB9"/>
    <w:rsid w:val="00A64781"/>
    <w:rsid w:val="00B45191"/>
    <w:rsid w:val="00B63DA5"/>
    <w:rsid w:val="00C0360D"/>
    <w:rsid w:val="00C131A3"/>
    <w:rsid w:val="00C71733"/>
    <w:rsid w:val="00C90883"/>
    <w:rsid w:val="00CA1F87"/>
    <w:rsid w:val="00CC3B1B"/>
    <w:rsid w:val="00CD354E"/>
    <w:rsid w:val="00CF146A"/>
    <w:rsid w:val="00CF2EDF"/>
    <w:rsid w:val="00D04C6A"/>
    <w:rsid w:val="00DB77A3"/>
    <w:rsid w:val="00DC675E"/>
    <w:rsid w:val="00DE7E60"/>
    <w:rsid w:val="00DF7A33"/>
    <w:rsid w:val="00E15945"/>
    <w:rsid w:val="00E214A4"/>
    <w:rsid w:val="00E84EA0"/>
    <w:rsid w:val="00EB1831"/>
    <w:rsid w:val="00EC757A"/>
    <w:rsid w:val="00F25013"/>
    <w:rsid w:val="00F2763B"/>
    <w:rsid w:val="00F51F8D"/>
    <w:rsid w:val="010548A3"/>
    <w:rsid w:val="01A56E4C"/>
    <w:rsid w:val="01AD13E8"/>
    <w:rsid w:val="02E6103E"/>
    <w:rsid w:val="03117DB2"/>
    <w:rsid w:val="032C6F1F"/>
    <w:rsid w:val="034B324C"/>
    <w:rsid w:val="036B34BE"/>
    <w:rsid w:val="036E4F1C"/>
    <w:rsid w:val="038F6C21"/>
    <w:rsid w:val="045820D8"/>
    <w:rsid w:val="053C54B0"/>
    <w:rsid w:val="06E14337"/>
    <w:rsid w:val="072F300A"/>
    <w:rsid w:val="08424B5A"/>
    <w:rsid w:val="09844A10"/>
    <w:rsid w:val="0C304A87"/>
    <w:rsid w:val="0C3D0E6F"/>
    <w:rsid w:val="0C8A4830"/>
    <w:rsid w:val="0C964F11"/>
    <w:rsid w:val="0CA84A25"/>
    <w:rsid w:val="0DA72AC5"/>
    <w:rsid w:val="0DF0485D"/>
    <w:rsid w:val="0E2C0092"/>
    <w:rsid w:val="0E4E433E"/>
    <w:rsid w:val="0E824BE6"/>
    <w:rsid w:val="0F415F81"/>
    <w:rsid w:val="11D61D6F"/>
    <w:rsid w:val="136278DA"/>
    <w:rsid w:val="13795B26"/>
    <w:rsid w:val="150A1A6D"/>
    <w:rsid w:val="156D2F96"/>
    <w:rsid w:val="15F1233F"/>
    <w:rsid w:val="171F123B"/>
    <w:rsid w:val="17F734EB"/>
    <w:rsid w:val="181C65E0"/>
    <w:rsid w:val="18D554DA"/>
    <w:rsid w:val="18F305FA"/>
    <w:rsid w:val="192B6B47"/>
    <w:rsid w:val="19880102"/>
    <w:rsid w:val="19B969F8"/>
    <w:rsid w:val="1A742E8D"/>
    <w:rsid w:val="1A7A562A"/>
    <w:rsid w:val="1AFF0E78"/>
    <w:rsid w:val="1DF677BB"/>
    <w:rsid w:val="1E472DB8"/>
    <w:rsid w:val="1E746421"/>
    <w:rsid w:val="1E9B7E4C"/>
    <w:rsid w:val="1E9C3795"/>
    <w:rsid w:val="1EDA4903"/>
    <w:rsid w:val="20084096"/>
    <w:rsid w:val="209928B9"/>
    <w:rsid w:val="209C5472"/>
    <w:rsid w:val="20CE6DC0"/>
    <w:rsid w:val="21CC142A"/>
    <w:rsid w:val="21E602E3"/>
    <w:rsid w:val="220B0633"/>
    <w:rsid w:val="22E25776"/>
    <w:rsid w:val="23207633"/>
    <w:rsid w:val="23B979CE"/>
    <w:rsid w:val="242025BE"/>
    <w:rsid w:val="24632F07"/>
    <w:rsid w:val="247D2255"/>
    <w:rsid w:val="249B33F3"/>
    <w:rsid w:val="24A44F3C"/>
    <w:rsid w:val="24D62E9F"/>
    <w:rsid w:val="25733DAC"/>
    <w:rsid w:val="25D41EBC"/>
    <w:rsid w:val="25F43F13"/>
    <w:rsid w:val="264B2D73"/>
    <w:rsid w:val="275E78A2"/>
    <w:rsid w:val="276D01C9"/>
    <w:rsid w:val="27F75104"/>
    <w:rsid w:val="283848A3"/>
    <w:rsid w:val="28426686"/>
    <w:rsid w:val="291A6C32"/>
    <w:rsid w:val="294B46B2"/>
    <w:rsid w:val="29F55B45"/>
    <w:rsid w:val="2A154AA4"/>
    <w:rsid w:val="2BEF54E9"/>
    <w:rsid w:val="2CAF63A9"/>
    <w:rsid w:val="2CB94070"/>
    <w:rsid w:val="2F197C6B"/>
    <w:rsid w:val="2F343253"/>
    <w:rsid w:val="2FE06A59"/>
    <w:rsid w:val="30572859"/>
    <w:rsid w:val="30710990"/>
    <w:rsid w:val="30A22A93"/>
    <w:rsid w:val="313542D8"/>
    <w:rsid w:val="318F2889"/>
    <w:rsid w:val="33611D6A"/>
    <w:rsid w:val="337A6C59"/>
    <w:rsid w:val="338C0BE8"/>
    <w:rsid w:val="33B525CD"/>
    <w:rsid w:val="33DA2ACD"/>
    <w:rsid w:val="35085D0E"/>
    <w:rsid w:val="350F3B7D"/>
    <w:rsid w:val="354F18AC"/>
    <w:rsid w:val="35D112AF"/>
    <w:rsid w:val="36241DC2"/>
    <w:rsid w:val="368E5F54"/>
    <w:rsid w:val="369D3B8D"/>
    <w:rsid w:val="36CF5E3A"/>
    <w:rsid w:val="37A14A59"/>
    <w:rsid w:val="37F60FF8"/>
    <w:rsid w:val="37F7529B"/>
    <w:rsid w:val="383E4940"/>
    <w:rsid w:val="384C0B14"/>
    <w:rsid w:val="385C43CF"/>
    <w:rsid w:val="388339B2"/>
    <w:rsid w:val="394E7745"/>
    <w:rsid w:val="3AFF24F6"/>
    <w:rsid w:val="3B0A25FE"/>
    <w:rsid w:val="3B5924BE"/>
    <w:rsid w:val="3BA4294E"/>
    <w:rsid w:val="3BA724C6"/>
    <w:rsid w:val="3C2707C4"/>
    <w:rsid w:val="3CDE5858"/>
    <w:rsid w:val="3E0A2748"/>
    <w:rsid w:val="3E7C34B6"/>
    <w:rsid w:val="3F455C1F"/>
    <w:rsid w:val="3FD0582D"/>
    <w:rsid w:val="3FF11475"/>
    <w:rsid w:val="400C5770"/>
    <w:rsid w:val="4087533B"/>
    <w:rsid w:val="40FC2A5F"/>
    <w:rsid w:val="411404CF"/>
    <w:rsid w:val="43AD248F"/>
    <w:rsid w:val="43CA05EC"/>
    <w:rsid w:val="442D1C25"/>
    <w:rsid w:val="45084003"/>
    <w:rsid w:val="465E121A"/>
    <w:rsid w:val="46976547"/>
    <w:rsid w:val="46CC3384"/>
    <w:rsid w:val="47B46FA8"/>
    <w:rsid w:val="484E6357"/>
    <w:rsid w:val="48564109"/>
    <w:rsid w:val="4A9A5E54"/>
    <w:rsid w:val="4AD104FC"/>
    <w:rsid w:val="4C4859F6"/>
    <w:rsid w:val="4CE74620"/>
    <w:rsid w:val="4DF329C3"/>
    <w:rsid w:val="4EA62899"/>
    <w:rsid w:val="4EBC1E75"/>
    <w:rsid w:val="4EE96254"/>
    <w:rsid w:val="4EF1744F"/>
    <w:rsid w:val="4F736AB7"/>
    <w:rsid w:val="516E3962"/>
    <w:rsid w:val="51A2066F"/>
    <w:rsid w:val="51CE02DD"/>
    <w:rsid w:val="535F465E"/>
    <w:rsid w:val="53BA0E78"/>
    <w:rsid w:val="54197597"/>
    <w:rsid w:val="54A05AC3"/>
    <w:rsid w:val="54F50346"/>
    <w:rsid w:val="54F62E2B"/>
    <w:rsid w:val="551C27D5"/>
    <w:rsid w:val="575F2CCA"/>
    <w:rsid w:val="579025EE"/>
    <w:rsid w:val="58073272"/>
    <w:rsid w:val="58246D88"/>
    <w:rsid w:val="586250F8"/>
    <w:rsid w:val="58CB017A"/>
    <w:rsid w:val="592C493C"/>
    <w:rsid w:val="59935019"/>
    <w:rsid w:val="5A5B5B65"/>
    <w:rsid w:val="5C8A3AEA"/>
    <w:rsid w:val="5D911768"/>
    <w:rsid w:val="5DF754F5"/>
    <w:rsid w:val="5E1052E3"/>
    <w:rsid w:val="5E9F37E5"/>
    <w:rsid w:val="5EB8683E"/>
    <w:rsid w:val="5EBD3920"/>
    <w:rsid w:val="5EC203FA"/>
    <w:rsid w:val="5F011B7C"/>
    <w:rsid w:val="600314AA"/>
    <w:rsid w:val="602A78CD"/>
    <w:rsid w:val="608D3044"/>
    <w:rsid w:val="61091F08"/>
    <w:rsid w:val="61463107"/>
    <w:rsid w:val="618536FC"/>
    <w:rsid w:val="61E643AD"/>
    <w:rsid w:val="622B6513"/>
    <w:rsid w:val="623E51B7"/>
    <w:rsid w:val="62603790"/>
    <w:rsid w:val="62801B63"/>
    <w:rsid w:val="63F41B45"/>
    <w:rsid w:val="64BF5917"/>
    <w:rsid w:val="65195C5F"/>
    <w:rsid w:val="656E60AD"/>
    <w:rsid w:val="65A16027"/>
    <w:rsid w:val="66586A12"/>
    <w:rsid w:val="66C2503A"/>
    <w:rsid w:val="67E70444"/>
    <w:rsid w:val="67EA7973"/>
    <w:rsid w:val="6800782C"/>
    <w:rsid w:val="68907F03"/>
    <w:rsid w:val="6952593D"/>
    <w:rsid w:val="69B352B0"/>
    <w:rsid w:val="6B7941EA"/>
    <w:rsid w:val="6BE13ECA"/>
    <w:rsid w:val="6C8C3484"/>
    <w:rsid w:val="6D0002CB"/>
    <w:rsid w:val="6DAF5AF5"/>
    <w:rsid w:val="6EF936DF"/>
    <w:rsid w:val="6F803576"/>
    <w:rsid w:val="6F887E54"/>
    <w:rsid w:val="6FC565D1"/>
    <w:rsid w:val="70611E9A"/>
    <w:rsid w:val="707E5B74"/>
    <w:rsid w:val="71296C09"/>
    <w:rsid w:val="7137468E"/>
    <w:rsid w:val="71FF640A"/>
    <w:rsid w:val="72E96571"/>
    <w:rsid w:val="73786DD7"/>
    <w:rsid w:val="74B95EEC"/>
    <w:rsid w:val="74D50B5E"/>
    <w:rsid w:val="754B0A73"/>
    <w:rsid w:val="755A5767"/>
    <w:rsid w:val="771A17F2"/>
    <w:rsid w:val="77D9594B"/>
    <w:rsid w:val="781B356A"/>
    <w:rsid w:val="797918A2"/>
    <w:rsid w:val="79BA1AAE"/>
    <w:rsid w:val="7A093456"/>
    <w:rsid w:val="7A4E1F94"/>
    <w:rsid w:val="7A5E78C9"/>
    <w:rsid w:val="7B5A5A7D"/>
    <w:rsid w:val="7B8A771F"/>
    <w:rsid w:val="7BA15B08"/>
    <w:rsid w:val="7BC05B6C"/>
    <w:rsid w:val="7D161E32"/>
    <w:rsid w:val="7D4E4B10"/>
    <w:rsid w:val="7F762F01"/>
    <w:rsid w:val="7FE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="仿宋_GB2312" w:eastAsia="仿宋_GB2312" w:hAnsiTheme="minorHAnsi" w:cstheme="minorBidi"/>
      <w:spacing w:val="-4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p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style2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fontstyle31"/>
    <w:basedOn w:val="7"/>
    <w:qFormat/>
    <w:uiPriority w:val="0"/>
    <w:rPr>
      <w:rFonts w:hint="default" w:ascii="Calibri" w:hAnsi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1499</Characters>
  <Lines>12</Lines>
  <Paragraphs>3</Paragraphs>
  <TotalTime>0</TotalTime>
  <ScaleCrop>false</ScaleCrop>
  <LinksUpToDate>false</LinksUpToDate>
  <CharactersWithSpaces>1758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2018-05-03T08:06:00Z</dcterms:created>
  <dc:creator>CN=左贡县办公室/OU=昌都市左贡县财政局/OU=昌都市财政局/OU=西藏自治区财政厅/O=TIBET</dc:creator>
  <cp:lastModifiedBy>Administrator</cp:lastModifiedBy>
  <dcterms:modified xsi:type="dcterms:W3CDTF">2025-04-17T09:45:12Z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DC550CE2AE9443F69E9CD6278CB0DBE6</vt:lpwstr>
  </property>
</Properties>
</file>