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984" w:line="900" w:lineRule="exact"/>
        <w:jc w:val="distribute"/>
        <w:rPr>
          <w:rFonts w:hint="default" w:ascii="Times New Roman" w:hAnsi="Times New Roman" w:eastAsia="方正小标宋简体" w:cs="Times New Roman"/>
          <w:color w:val="FF0000"/>
          <w:spacing w:val="-45"/>
          <w:w w:val="85"/>
          <w:sz w:val="90"/>
          <w:szCs w:val="90"/>
        </w:rPr>
      </w:pPr>
      <w:r>
        <w:rPr>
          <w:rFonts w:hint="default" w:ascii="Times New Roman" w:hAnsi="Times New Roman" w:eastAsia="方正小标宋简体" w:cs="Times New Roman"/>
          <w:color w:val="FF0000"/>
          <w:spacing w:val="-45"/>
          <w:w w:val="85"/>
          <w:sz w:val="90"/>
          <w:szCs w:val="90"/>
        </w:rPr>
        <w:t>中共左贡县人民法院党组文件</w:t>
      </w:r>
    </w:p>
    <w:p>
      <w:pPr>
        <w:spacing w:line="900" w:lineRule="exact"/>
        <w:jc w:val="center"/>
        <w:rPr>
          <w:rFonts w:hint="eastAsia" w:ascii="BZDBT" w:hAnsi="BZDBT" w:eastAsia="BZDBT" w:cs="BZDBT"/>
          <w:spacing w:val="-11"/>
          <w:w w:val="90"/>
          <w:sz w:val="34"/>
          <w:szCs w:val="34"/>
        </w:rPr>
      </w:pPr>
      <w:r>
        <w:rPr>
          <w:rFonts w:hint="eastAsia" w:ascii="BZDBT" w:hAnsi="BZDBT" w:eastAsia="BZDBT" w:cs="BZDBT"/>
          <w:color w:val="FF0000"/>
          <w:spacing w:val="-11"/>
          <w:w w:val="90"/>
          <w:sz w:val="34"/>
          <w:szCs w:val="34"/>
        </w:rPr>
        <w:t>爆爸︽贬爸︽扳倒︽菠爸︽稻爸︽脆︽拜扳爸邦︽避扳邦︽霸爸︽编︽佰爸︽单笛︽翟罢︽柏﹀﹀</w:t>
      </w:r>
    </w:p>
    <w:p>
      <w:pPr>
        <w:spacing w:line="576" w:lineRule="exact"/>
        <w:jc w:val="center"/>
        <w:rPr>
          <w:rFonts w:hint="default" w:ascii="Times New Roman" w:hAnsi="Times New Roman" w:eastAsia="仿宋_GB2312" w:cs="Times New Roman"/>
          <w:sz w:val="32"/>
          <w:szCs w:val="32"/>
        </w:rPr>
      </w:pPr>
    </w:p>
    <w:p>
      <w:pPr>
        <w:spacing w:line="576" w:lineRule="exact"/>
        <w:jc w:val="center"/>
        <w:rPr>
          <w:rFonts w:hint="default" w:ascii="Times New Roman" w:hAnsi="Times New Roman" w:eastAsia="仿宋_GB2312" w:cs="Times New Roman"/>
          <w:sz w:val="32"/>
          <w:szCs w:val="32"/>
        </w:rPr>
      </w:pPr>
    </w:p>
    <w:p>
      <w:pPr>
        <w:spacing w:line="576" w:lineRule="exact"/>
        <w:ind w:left="420" w:leftChars="200" w:right="420" w:rightChars="200"/>
        <w:rPr>
          <w:rFonts w:ascii="Times New Roman" w:hAnsi="Times New Roman" w:eastAsia="方正小标宋简体"/>
          <w:sz w:val="44"/>
          <w:szCs w:val="44"/>
        </w:rPr>
      </w:pPr>
      <w:r>
        <w:rPr>
          <w:rFonts w:hint="default" w:ascii="Times New Roman" w:hAnsi="Times New Roman" w:eastAsia="仿宋_GB2312" w:cs="Times New Roman"/>
          <w:sz w:val="32"/>
          <w:szCs w:val="32"/>
        </w:rPr>
        <w:t>左法组〔202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 xml:space="preserve">号               </w:t>
      </w:r>
      <w:r>
        <w:rPr>
          <w:rFonts w:hint="default"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rPr>
        <w:t>签发人：</w:t>
      </w:r>
      <w:r>
        <w:rPr>
          <w:rFonts w:hint="default" w:ascii="Times New Roman" w:hAnsi="Times New Roman" w:cs="Times New Roman"/>
          <w:sz w:val="32"/>
        </w:rPr>
        <mc:AlternateContent>
          <mc:Choice Requires="wps">
            <w:drawing>
              <wp:anchor distT="0" distB="0" distL="114300" distR="114300" simplePos="0" relativeHeight="251660288" behindDoc="0" locked="0" layoutInCell="1" allowOverlap="1">
                <wp:simplePos x="0" y="0"/>
                <wp:positionH relativeFrom="column">
                  <wp:posOffset>-38735</wp:posOffset>
                </wp:positionH>
                <wp:positionV relativeFrom="page">
                  <wp:posOffset>4853940</wp:posOffset>
                </wp:positionV>
                <wp:extent cx="5622925" cy="10795"/>
                <wp:effectExtent l="6350" t="6350" r="9525" b="11430"/>
                <wp:wrapNone/>
                <wp:docPr id="4" name="矩形 4"/>
                <wp:cNvGraphicFramePr/>
                <a:graphic xmlns:a="http://schemas.openxmlformats.org/drawingml/2006/main">
                  <a:graphicData uri="http://schemas.microsoft.com/office/word/2010/wordprocessingShape">
                    <wps:wsp>
                      <wps:cNvSpPr/>
                      <wps:spPr>
                        <a:xfrm>
                          <a:off x="1072515" y="5877560"/>
                          <a:ext cx="5622925" cy="10795"/>
                        </a:xfrm>
                        <a:prstGeom prst="rect">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3.05pt;margin-top:382.2pt;height:0.85pt;width:442.75pt;mso-position-vertical-relative:page;z-index:251660288;v-text-anchor:middle;mso-width-relative:page;mso-height-relative:page;" fillcolor="#FF0000" filled="t" stroked="t" coordsize="21600,21600" o:gfxdata="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BYAAABkcnMvUEsBAhQAFAAAAAgAh07iQM74tmLXAAAACgEAAA8AAAAAAAAAAQAgAAAA&#10;OAAAAGRycy9kb3ducmV2LnhtbFBLAQIUABQAAAAIAIdO4kDnJV1taAIAAM4EAAAOAAAAAAAAAAEA&#10;IAAAADwBAABkcnMvZTJvRG9jLnhtbFBLBQYAAAAABgAGAFkBAAAWBgAAAAA=&#10;">
                <v:fill on="t" focussize="0,0"/>
                <v:stroke weight="1pt" color="#FF0000" miterlimit="8" joinstyle="miter"/>
                <v:imagedata o:title=""/>
                <o:lock v:ext="edit" aspectratio="f"/>
              </v:rect>
            </w:pict>
          </mc:Fallback>
        </mc:AlternateContent>
      </w:r>
      <w:r>
        <w:rPr>
          <w:rFonts w:hint="eastAsia" w:ascii="Times New Roman" w:hAnsi="Times New Roman" w:eastAsia="楷体_GB2312" w:cs="Times New Roman"/>
          <w:sz w:val="32"/>
          <w:szCs w:val="32"/>
          <w:lang w:val="en-US" w:eastAsia="zh-CN"/>
        </w:rPr>
        <w:t>徐晓虎</w:t>
      </w:r>
    </w:p>
    <w:p>
      <w:pPr>
        <w:keepNext w:val="0"/>
        <w:keepLines w:val="0"/>
        <w:pageBreakBefore w:val="0"/>
        <w:widowControl w:val="0"/>
        <w:kinsoku/>
        <w:wordWrap/>
        <w:overflowPunct/>
        <w:topLinePunct w:val="0"/>
        <w:autoSpaceDE/>
        <w:autoSpaceDN/>
        <w:bidi w:val="0"/>
        <w:adjustRightInd/>
        <w:snapToGrid/>
        <w:spacing w:before="0" w:beforeLines="100" w:beforeAutospacing="0" w:afterAutospacing="0" w:line="576" w:lineRule="exact"/>
        <w:ind w:left="0"/>
        <w:jc w:val="center"/>
        <w:textAlignment w:val="auto"/>
        <w:rPr>
          <w:rFonts w:hint="eastAsia" w:ascii="方正小标宋_GBK" w:hAnsi="方正小标宋_GBK" w:eastAsia="方正小标宋_GBK" w:cs="方正小标宋_GBK"/>
          <w:b/>
          <w:sz w:val="44"/>
          <w:szCs w:val="44"/>
          <w:lang w:val="en-US" w:eastAsia="zh-CN"/>
        </w:rPr>
      </w:pPr>
      <w:r>
        <w:rPr>
          <w:rFonts w:hint="eastAsia" w:ascii="方正小标宋简体" w:hAnsi="方正小标宋简体" w:eastAsia="方正小标宋简体" w:cs="方正小标宋简体"/>
          <w:b w:val="0"/>
          <w:bCs/>
          <w:sz w:val="44"/>
          <w:szCs w:val="44"/>
        </w:rPr>
        <w:t>左贡县人民法院关于2025年度法治政府建设工作情况报告</w:t>
      </w:r>
      <w:r>
        <w:rPr>
          <w:rFonts w:hint="eastAsia" w:ascii="方正小标宋_GBK" w:hAnsi="方正小标宋_GBK" w:eastAsia="方正小标宋_GBK" w:cs="方正小标宋_GBK"/>
          <w:b/>
          <w:sz w:val="44"/>
          <w:szCs w:val="44"/>
          <w:lang w:val="en-US" w:eastAsia="zh-CN"/>
        </w:rPr>
        <w:t xml:space="preserve"> </w:t>
      </w:r>
    </w:p>
    <w:p>
      <w:pPr>
        <w:keepNext w:val="0"/>
        <w:keepLines w:val="0"/>
        <w:pageBreakBefore w:val="0"/>
        <w:widowControl w:val="0"/>
        <w:suppressAutoHyphens/>
        <w:kinsoku/>
        <w:wordWrap/>
        <w:overflowPunct/>
        <w:topLinePunct w:val="0"/>
        <w:autoSpaceDE/>
        <w:autoSpaceDN/>
        <w:bidi w:val="0"/>
        <w:adjustRightInd/>
        <w:snapToGrid/>
        <w:spacing w:before="0" w:beforeLines="100" w:beforeAutospacing="0" w:afterAutospacing="0" w:line="576"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2025年，左贡县人民法院坚持以习近平新时代中国特色社会主义思想为指导，深入贯彻习近平法治思想，全面落实党的二十大和党的二十届历次全会精神，认真践行习近平总书记关于西藏工作的重要指示和新时代党的治藏方略，紧扣区党委、市委及县委关于法治政府建设的决策部署，聚焦“四件大事”、聚力“四个创建”，锚定市委“一切向东，建设长治久安和高质量发展示范引领市”工作目标，以服务大局、司法为民、公正司法为核心，充分发挥审判职能作用，切实履行司法机关在法治政府建设中的职责使命，为全县法治政府建设提供了坚实司法保障。现将全年工作情况报告如下</w:t>
      </w:r>
      <w:bookmarkStart w:id="0" w:name="heading_0"/>
      <w:r>
        <w:rPr>
          <w:rFonts w:hint="eastAsia" w:ascii="仿宋_GB2312" w:hAnsi="仿宋_GB2312" w:eastAsia="仿宋_GB2312" w:cs="仿宋_GB2312"/>
          <w:color w:val="auto"/>
          <w:kern w:val="2"/>
          <w:sz w:val="32"/>
          <w:szCs w:val="32"/>
          <w:lang w:val="en-US" w:eastAsia="zh-CN" w:bidi="ar-SA"/>
        </w:rPr>
        <w:t>。</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一、上一年度推进法治政府建设的主要举措和成效</w:t>
      </w:r>
      <w:bookmarkEnd w:id="0"/>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2025年，我院立足审判职能，主动对接法治政府建设需求，通过强化行政审判监督、优化司法服务保障、深化法治宣传引导等举措，推动法治政府建设各项工作落地见效。</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左贡县人民</w:t>
      </w:r>
      <w:r>
        <w:rPr>
          <w:rFonts w:hint="eastAsia" w:ascii="仿宋_GB2312" w:hAnsi="仿宋_GB2312" w:eastAsia="仿宋_GB2312" w:cs="仿宋_GB2312"/>
          <w:sz w:val="32"/>
          <w:szCs w:val="32"/>
        </w:rPr>
        <w:t>法院受理</w:t>
      </w:r>
      <w:r>
        <w:rPr>
          <w:rFonts w:hint="eastAsia" w:ascii="仿宋_GB2312" w:hAnsi="仿宋_GB2312" w:eastAsia="仿宋_GB2312" w:cs="仿宋_GB2312"/>
          <w:sz w:val="32"/>
          <w:szCs w:val="32"/>
          <w:lang w:eastAsia="zh-CN"/>
        </w:rPr>
        <w:t>各类</w:t>
      </w:r>
      <w:r>
        <w:rPr>
          <w:rFonts w:hint="eastAsia" w:ascii="仿宋_GB2312" w:hAnsi="仿宋_GB2312" w:eastAsia="仿宋_GB2312" w:cs="仿宋_GB2312"/>
          <w:sz w:val="32"/>
          <w:szCs w:val="32"/>
        </w:rPr>
        <w:t>案件</w:t>
      </w:r>
      <w:r>
        <w:rPr>
          <w:rFonts w:hint="eastAsia" w:ascii="仿宋_GB2312" w:hAnsi="仿宋_GB2312" w:eastAsia="仿宋_GB2312" w:cs="仿宋_GB2312"/>
          <w:sz w:val="32"/>
          <w:szCs w:val="32"/>
          <w:lang w:val="en-US" w:eastAsia="zh-CN"/>
        </w:rPr>
        <w:t>614</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lang w:eastAsia="zh-CN"/>
        </w:rPr>
        <w:t>，同比</w:t>
      </w:r>
      <w:r>
        <w:rPr>
          <w:rFonts w:hint="eastAsia" w:ascii="仿宋_GB2312" w:hAnsi="仿宋_GB2312" w:eastAsia="仿宋_GB2312" w:cs="仿宋_GB2312"/>
          <w:sz w:val="32"/>
          <w:szCs w:val="32"/>
        </w:rPr>
        <w:t>增长</w:t>
      </w:r>
      <w:r>
        <w:rPr>
          <w:rFonts w:hint="eastAsia" w:ascii="仿宋_GB2312" w:hAnsi="仿宋_GB2312" w:eastAsia="仿宋_GB2312" w:cs="仿宋_GB2312"/>
          <w:sz w:val="32"/>
          <w:szCs w:val="32"/>
          <w:lang w:val="en-US" w:eastAsia="zh-CN"/>
        </w:rPr>
        <w:t>12.66</w:t>
      </w:r>
      <w:r>
        <w:rPr>
          <w:rFonts w:hint="eastAsia" w:ascii="仿宋_GB2312" w:hAnsi="仿宋_GB2312" w:eastAsia="仿宋_GB2312" w:cs="仿宋_GB2312"/>
          <w:sz w:val="32"/>
          <w:szCs w:val="32"/>
        </w:rPr>
        <w:t>%，审执结</w:t>
      </w:r>
      <w:r>
        <w:rPr>
          <w:rFonts w:hint="eastAsia" w:ascii="仿宋_GB2312" w:hAnsi="仿宋_GB2312" w:eastAsia="仿宋_GB2312" w:cs="仿宋_GB2312"/>
          <w:sz w:val="32"/>
          <w:szCs w:val="32"/>
          <w:lang w:val="en-US" w:eastAsia="zh-CN"/>
        </w:rPr>
        <w:t>591</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lang w:eastAsia="zh-CN"/>
        </w:rPr>
        <w:t>同比增长</w:t>
      </w:r>
      <w:r>
        <w:rPr>
          <w:rFonts w:hint="eastAsia" w:ascii="仿宋_GB2312" w:hAnsi="仿宋_GB2312" w:eastAsia="仿宋_GB2312" w:cs="仿宋_GB2312"/>
          <w:sz w:val="32"/>
          <w:szCs w:val="32"/>
          <w:lang w:val="en-US" w:eastAsia="zh-CN"/>
        </w:rPr>
        <w:t>15.20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，综合结案率</w:t>
      </w:r>
      <w:r>
        <w:rPr>
          <w:rFonts w:hint="eastAsia" w:ascii="仿宋_GB2312" w:hAnsi="仿宋_GB2312" w:eastAsia="仿宋_GB2312" w:cs="仿宋_GB2312"/>
          <w:sz w:val="32"/>
          <w:szCs w:val="32"/>
          <w:lang w:val="en-US" w:eastAsia="zh-CN"/>
        </w:rPr>
        <w:t>96.25%</w:t>
      </w:r>
      <w:r>
        <w:rPr>
          <w:rFonts w:hint="eastAsia" w:ascii="仿宋_GB2312" w:hAnsi="仿宋_GB2312" w:eastAsia="仿宋_GB2312" w:cs="仿宋_GB2312"/>
          <w:color w:val="auto"/>
          <w:kern w:val="2"/>
          <w:sz w:val="32"/>
          <w:szCs w:val="32"/>
          <w:lang w:val="en-US" w:eastAsia="zh-CN" w:bidi="ar-SA"/>
        </w:rPr>
        <w:t>，以高效司法履职护航法治政府建设进程。</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bookmarkStart w:id="1" w:name="heading_1"/>
      <w:r>
        <w:rPr>
          <w:rFonts w:hint="eastAsia" w:ascii="楷体_GB2312" w:hAnsi="楷体_GB2312" w:eastAsia="楷体_GB2312" w:cs="楷体_GB2312"/>
          <w:color w:val="auto"/>
          <w:kern w:val="2"/>
          <w:sz w:val="32"/>
          <w:szCs w:val="32"/>
          <w:lang w:val="en-US" w:eastAsia="zh-CN" w:bidi="ar-SA"/>
        </w:rPr>
        <w:t>（一）强化行政审判职能，筑牢依法行政司法屏障</w:t>
      </w:r>
      <w:bookmarkEnd w:id="1"/>
      <w:r>
        <w:rPr>
          <w:rFonts w:hint="eastAsia" w:ascii="楷体_GB2312" w:hAnsi="楷体_GB2312" w:eastAsia="楷体_GB2312" w:cs="楷体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坚守行政审判监督与支持并重原则，推动行政机关依法行使职权。</w:t>
      </w:r>
      <w:r>
        <w:rPr>
          <w:rFonts w:hint="eastAsia" w:ascii="仿宋_GB2312" w:hAnsi="仿宋_GB2312" w:eastAsia="仿宋_GB2312" w:cs="仿宋_GB2312"/>
          <w:b/>
          <w:bCs/>
          <w:color w:val="auto"/>
          <w:kern w:val="2"/>
          <w:sz w:val="32"/>
          <w:szCs w:val="32"/>
          <w:lang w:val="en-US" w:eastAsia="zh-CN" w:bidi="ar-SA"/>
        </w:rPr>
        <w:t>一是规范行政案件审理。</w:t>
      </w:r>
      <w:r>
        <w:rPr>
          <w:rFonts w:hint="eastAsia" w:ascii="仿宋_GB2312" w:hAnsi="仿宋_GB2312" w:eastAsia="仿宋_GB2312" w:cs="仿宋_GB2312"/>
          <w:color w:val="auto"/>
          <w:kern w:val="2"/>
          <w:sz w:val="32"/>
          <w:szCs w:val="32"/>
          <w:lang w:val="en-US" w:eastAsia="zh-CN" w:bidi="ar-SA"/>
        </w:rPr>
        <w:t>全年受理行政案件1件，审结1件，严格依照法定程序审理，依法支持行政机关合法行政行为，对行政行为的合法性、合理性进行全面审查，促进行政机关规范执法。</w:t>
      </w:r>
      <w:r>
        <w:rPr>
          <w:rFonts w:hint="eastAsia" w:ascii="仿宋_GB2312" w:hAnsi="仿宋_GB2312" w:eastAsia="仿宋_GB2312" w:cs="仿宋_GB2312"/>
          <w:b/>
          <w:bCs/>
          <w:color w:val="auto"/>
          <w:kern w:val="2"/>
          <w:sz w:val="32"/>
          <w:szCs w:val="32"/>
          <w:lang w:val="en-US" w:eastAsia="zh-CN" w:bidi="ar-SA"/>
        </w:rPr>
        <w:t>二是深化非诉行政执行审查。</w:t>
      </w:r>
      <w:r>
        <w:rPr>
          <w:rFonts w:hint="eastAsia" w:ascii="仿宋_GB2312" w:hAnsi="仿宋_GB2312" w:eastAsia="仿宋_GB2312" w:cs="仿宋_GB2312"/>
          <w:color w:val="auto"/>
          <w:kern w:val="2"/>
          <w:sz w:val="32"/>
          <w:szCs w:val="32"/>
          <w:lang w:val="en-US" w:eastAsia="zh-CN" w:bidi="ar-SA"/>
        </w:rPr>
        <w:t>与行政机关建立良性联动机制，依法审查行政机关申请的非诉强制执行案件，确保合法行政行为得到有效执行，对不符合法定条件的坚决不予执行，切实维护行政相对人合法权益。</w:t>
      </w:r>
      <w:r>
        <w:rPr>
          <w:rFonts w:hint="eastAsia" w:ascii="仿宋_GB2312" w:hAnsi="仿宋_GB2312" w:eastAsia="仿宋_GB2312" w:cs="仿宋_GB2312"/>
          <w:b/>
          <w:bCs/>
          <w:color w:val="auto"/>
          <w:kern w:val="2"/>
          <w:sz w:val="32"/>
          <w:szCs w:val="32"/>
          <w:lang w:val="en-US" w:eastAsia="zh-CN" w:bidi="ar-SA"/>
        </w:rPr>
        <w:t>三是健全府院联动机制。</w:t>
      </w:r>
      <w:r>
        <w:rPr>
          <w:rFonts w:hint="eastAsia" w:ascii="仿宋_GB2312" w:hAnsi="仿宋_GB2312" w:eastAsia="仿宋_GB2312" w:cs="仿宋_GB2312"/>
          <w:color w:val="auto"/>
          <w:kern w:val="2"/>
          <w:sz w:val="32"/>
          <w:szCs w:val="32"/>
          <w:lang w:val="en-US" w:eastAsia="zh-CN" w:bidi="ar-SA"/>
        </w:rPr>
        <w:t>与县政府建立重大行政决策合法性审查协作机制，应邀为行政机关重大决策提供合法性审查11次、法律咨询21次，从源头防范行政决策法律风险，助力行政机关科学决策、依法决策。</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bookmarkStart w:id="2" w:name="heading_2"/>
      <w:r>
        <w:rPr>
          <w:rFonts w:hint="eastAsia" w:ascii="楷体_GB2312" w:hAnsi="楷体_GB2312" w:eastAsia="楷体_GB2312" w:cs="楷体_GB2312"/>
          <w:color w:val="auto"/>
          <w:kern w:val="2"/>
          <w:sz w:val="32"/>
          <w:szCs w:val="32"/>
          <w:lang w:val="en-US" w:eastAsia="zh-CN" w:bidi="ar-SA"/>
        </w:rPr>
        <w:t>（二）聚焦服务大局，优化法治政府建设发展环境</w:t>
      </w:r>
      <w:bookmarkEnd w:id="2"/>
      <w:r>
        <w:rPr>
          <w:rFonts w:hint="eastAsia" w:ascii="楷体_GB2312" w:hAnsi="楷体_GB2312" w:eastAsia="楷体_GB2312" w:cs="楷体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紧扣县域经济社会发展大局，以司法服务保障法治政府建设提质增效。</w:t>
      </w:r>
      <w:r>
        <w:rPr>
          <w:rFonts w:hint="eastAsia" w:ascii="仿宋_GB2312" w:hAnsi="仿宋_GB2312" w:eastAsia="仿宋_GB2312" w:cs="仿宋_GB2312"/>
          <w:b/>
          <w:bCs/>
          <w:color w:val="auto"/>
          <w:kern w:val="2"/>
          <w:sz w:val="32"/>
          <w:szCs w:val="32"/>
          <w:lang w:val="en-US" w:eastAsia="zh-CN" w:bidi="ar-SA"/>
        </w:rPr>
        <w:t>一是营造法治化营商环境。</w:t>
      </w:r>
      <w:r>
        <w:rPr>
          <w:rFonts w:hint="eastAsia" w:ascii="仿宋_GB2312" w:hAnsi="仿宋_GB2312" w:eastAsia="仿宋_GB2312" w:cs="仿宋_GB2312"/>
          <w:b w:val="0"/>
          <w:bCs w:val="0"/>
          <w:sz w:val="32"/>
          <w:szCs w:val="32"/>
          <w:lang w:eastAsia="zh-CN"/>
        </w:rPr>
        <w:t>受理民商事案件</w:t>
      </w:r>
      <w:r>
        <w:rPr>
          <w:rFonts w:hint="eastAsia" w:ascii="仿宋_GB2312" w:hAnsi="仿宋_GB2312" w:eastAsia="仿宋_GB2312" w:cs="仿宋_GB2312"/>
          <w:b w:val="0"/>
          <w:bCs w:val="0"/>
          <w:sz w:val="32"/>
          <w:szCs w:val="32"/>
          <w:lang w:val="en-US" w:eastAsia="zh-CN"/>
        </w:rPr>
        <w:t>374件，审结362件。在</w:t>
      </w:r>
      <w:r>
        <w:rPr>
          <w:rFonts w:hint="eastAsia" w:ascii="仿宋_GB2312" w:hAnsi="仿宋_GB2312" w:eastAsia="仿宋_GB2312" w:cs="仿宋_GB2312"/>
          <w:sz w:val="32"/>
          <w:szCs w:val="32"/>
          <w:lang w:val="en-US" w:eastAsia="zh-CN"/>
        </w:rPr>
        <w:t>服务保障重点工程建设中，审结建设工程施工合同、劳务合同和追索劳动报酬纠纷34件。在保障企业健康经营生产中，审结企业产权、物权和侵权责任纠纷31件。在保护市场主体合法经营权益中，审结买卖合同、借款合同、承揽合同、租赁合同和运输合同纠纷200件。在保护劳动者合法权益中，审结劳动人事争议纠纷8件。</w:t>
      </w:r>
      <w:r>
        <w:rPr>
          <w:rFonts w:hint="eastAsia" w:ascii="仿宋_GB2312" w:hAnsi="仿宋_GB2312" w:eastAsia="仿宋_GB2312" w:cs="仿宋_GB2312"/>
          <w:b/>
          <w:bCs/>
          <w:color w:val="auto"/>
          <w:kern w:val="2"/>
          <w:sz w:val="32"/>
          <w:szCs w:val="32"/>
          <w:lang w:val="en-US" w:eastAsia="zh-CN" w:bidi="ar-SA"/>
        </w:rPr>
        <w:t>二是助力社会稳定治理。</w:t>
      </w:r>
      <w:r>
        <w:rPr>
          <w:rFonts w:hint="eastAsia" w:ascii="仿宋_GB2312" w:hAnsi="仿宋_GB2312" w:eastAsia="仿宋_GB2312" w:cs="仿宋_GB2312"/>
          <w:color w:val="auto"/>
          <w:kern w:val="2"/>
          <w:sz w:val="32"/>
          <w:szCs w:val="32"/>
          <w:lang w:val="en-US" w:eastAsia="zh-CN" w:bidi="ar-SA"/>
        </w:rPr>
        <w:t>依法严惩各类刑事犯罪，审结刑事案件19件，判处罪犯20人，其中审结贪污贿赂</w:t>
      </w:r>
      <w:r>
        <w:rPr>
          <w:rFonts w:hint="eastAsia" w:ascii="仿宋_GB2312" w:hAnsi="仿宋_GB2312" w:eastAsia="仿宋_GB2312" w:cs="仿宋_GB2312"/>
          <w:color w:val="auto"/>
          <w:kern w:val="2"/>
          <w:sz w:val="32"/>
          <w:szCs w:val="32"/>
          <w:highlight w:val="none"/>
          <w:lang w:val="en-US" w:eastAsia="zh-CN" w:bidi="ar-SA"/>
        </w:rPr>
        <w:t>案件2件</w:t>
      </w:r>
      <w:r>
        <w:rPr>
          <w:rFonts w:hint="eastAsia" w:ascii="仿宋_GB2312" w:hAnsi="仿宋_GB2312" w:eastAsia="仿宋_GB2312" w:cs="仿宋_GB2312"/>
          <w:color w:val="auto"/>
          <w:kern w:val="2"/>
          <w:sz w:val="32"/>
          <w:szCs w:val="32"/>
          <w:lang w:val="en-US" w:eastAsia="zh-CN" w:bidi="ar-SA"/>
        </w:rPr>
        <w:t>，强化反腐败司法协作，推动公职人员依法履职；审结交通肇事、危险驾驶等危害公共安全犯罪</w:t>
      </w:r>
      <w:r>
        <w:rPr>
          <w:rFonts w:hint="eastAsia" w:ascii="仿宋_GB2312" w:hAnsi="仿宋_GB2312" w:eastAsia="仿宋_GB2312" w:cs="仿宋_GB2312"/>
          <w:color w:val="auto"/>
          <w:kern w:val="2"/>
          <w:sz w:val="32"/>
          <w:szCs w:val="32"/>
          <w:highlight w:val="none"/>
          <w:lang w:val="en-US" w:eastAsia="zh-CN" w:bidi="ar-SA"/>
        </w:rPr>
        <w:t>11件，</w:t>
      </w:r>
      <w:r>
        <w:rPr>
          <w:rFonts w:hint="eastAsia" w:ascii="仿宋_GB2312" w:hAnsi="仿宋_GB2312" w:eastAsia="仿宋_GB2312" w:cs="仿宋_GB2312"/>
          <w:color w:val="auto"/>
          <w:kern w:val="2"/>
          <w:sz w:val="32"/>
          <w:szCs w:val="32"/>
          <w:lang w:val="en-US" w:eastAsia="zh-CN" w:bidi="ar-SA"/>
        </w:rPr>
        <w:t>筑牢公共安全防线，为法治政府建设营造安全稳定环境。</w:t>
      </w:r>
      <w:r>
        <w:rPr>
          <w:rFonts w:hint="eastAsia" w:ascii="仿宋_GB2312" w:hAnsi="仿宋_GB2312" w:eastAsia="仿宋_GB2312" w:cs="仿宋_GB2312"/>
          <w:b/>
          <w:bCs/>
          <w:color w:val="auto"/>
          <w:kern w:val="2"/>
          <w:sz w:val="32"/>
          <w:szCs w:val="32"/>
          <w:lang w:val="en-US" w:eastAsia="zh-CN" w:bidi="ar-SA"/>
        </w:rPr>
        <w:t>三是全力兑现胜诉权益。</w:t>
      </w:r>
      <w:r>
        <w:rPr>
          <w:rFonts w:hint="eastAsia" w:ascii="仿宋_GB2312" w:hAnsi="仿宋_GB2312" w:eastAsia="仿宋_GB2312" w:cs="仿宋_GB2312"/>
          <w:color w:val="auto"/>
          <w:kern w:val="2"/>
          <w:sz w:val="32"/>
          <w:szCs w:val="32"/>
          <w:lang w:val="en-US" w:eastAsia="zh-CN" w:bidi="ar-SA"/>
        </w:rPr>
        <w:t>以“藏东飓风”专项执行行动为抓手，受理执行案件220件，执结211件，执行到位金额1373.96万元，通过纳入失信名单、限制高消费、司法拘留等措施，打击逃避执行行为，其中涉及行政机关作为被执行人的案件均依法妥善处置，维护司法权威和行政公信力。</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bookmarkStart w:id="3" w:name="heading_3"/>
      <w:r>
        <w:rPr>
          <w:rFonts w:hint="eastAsia" w:ascii="楷体_GB2312" w:hAnsi="楷体_GB2312" w:eastAsia="楷体_GB2312" w:cs="楷体_GB2312"/>
          <w:color w:val="auto"/>
          <w:kern w:val="2"/>
          <w:sz w:val="32"/>
          <w:szCs w:val="32"/>
          <w:lang w:val="en-US" w:eastAsia="zh-CN" w:bidi="ar-SA"/>
        </w:rPr>
        <w:t>（三）深化司法为民举措，提升法治政府建设群众获得感</w:t>
      </w:r>
      <w:bookmarkEnd w:id="3"/>
      <w:r>
        <w:rPr>
          <w:rFonts w:hint="eastAsia" w:ascii="楷体_GB2312" w:hAnsi="楷体_GB2312" w:eastAsia="楷体_GB2312" w:cs="楷体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以人民为中心优化司法服务，推动法治政府建设贴近群众需求。</w:t>
      </w:r>
      <w:r>
        <w:rPr>
          <w:rFonts w:hint="eastAsia" w:ascii="仿宋_GB2312" w:hAnsi="仿宋_GB2312" w:eastAsia="仿宋_GB2312" w:cs="仿宋_GB2312"/>
          <w:b/>
          <w:bCs/>
          <w:color w:val="auto"/>
          <w:kern w:val="2"/>
          <w:sz w:val="32"/>
          <w:szCs w:val="32"/>
          <w:lang w:val="en-US" w:eastAsia="zh-CN" w:bidi="ar-SA"/>
        </w:rPr>
        <w:t>一是升级“一站式”诉讼服务。</w:t>
      </w:r>
      <w:r>
        <w:rPr>
          <w:rFonts w:hint="eastAsia" w:ascii="仿宋_GB2312" w:hAnsi="仿宋_GB2312" w:eastAsia="仿宋_GB2312" w:cs="仿宋_GB2312"/>
          <w:color w:val="auto"/>
          <w:kern w:val="2"/>
          <w:sz w:val="32"/>
          <w:szCs w:val="32"/>
          <w:highlight w:val="none"/>
          <w:lang w:val="en-US" w:eastAsia="zh-CN" w:bidi="ar-SA"/>
        </w:rPr>
        <w:t>诉讼服务中心全年接待当事人1400余人次，提供网上立案48件、电子送达文书1243份、在线庭审92件次，设置双语服务窗口、妇女儿童维权岗，提供双语服务800余人次，办结妇女儿童维权案件45件</w:t>
      </w:r>
      <w:r>
        <w:rPr>
          <w:rFonts w:hint="eastAsia" w:ascii="仿宋_GB2312" w:hAnsi="仿宋_GB2312" w:eastAsia="仿宋_GB2312" w:cs="仿宋_GB2312"/>
          <w:color w:val="auto"/>
          <w:kern w:val="2"/>
          <w:sz w:val="32"/>
          <w:szCs w:val="32"/>
          <w:lang w:val="en-US" w:eastAsia="zh-CN" w:bidi="ar-SA"/>
        </w:rPr>
        <w:t>，切实降低群众诉讼成本，保障群众平等享有司法服务。</w:t>
      </w:r>
      <w:r>
        <w:rPr>
          <w:rFonts w:hint="eastAsia" w:ascii="仿宋_GB2312" w:hAnsi="仿宋_GB2312" w:eastAsia="仿宋_GB2312" w:cs="仿宋_GB2312"/>
          <w:b/>
          <w:bCs/>
          <w:color w:val="auto"/>
          <w:kern w:val="2"/>
          <w:sz w:val="32"/>
          <w:szCs w:val="32"/>
          <w:lang w:val="en-US" w:eastAsia="zh-CN" w:bidi="ar-SA"/>
        </w:rPr>
        <w:t>二是推动矛盾源头化解。</w:t>
      </w:r>
      <w:r>
        <w:rPr>
          <w:rFonts w:hint="eastAsia" w:ascii="仿宋_GB2312" w:hAnsi="仿宋_GB2312" w:eastAsia="仿宋_GB2312" w:cs="仿宋_GB2312"/>
          <w:color w:val="auto"/>
          <w:kern w:val="2"/>
          <w:sz w:val="32"/>
          <w:szCs w:val="32"/>
          <w:lang w:val="en-US" w:eastAsia="zh-CN" w:bidi="ar-SA"/>
        </w:rPr>
        <w:t>深化“分调裁审”机制改革，繁简分流案件214件，先行调解成功67件，选派干警常驻综治中心，联动调解矛盾纠纷20余起，田妥中心人民法庭审结乡村民生案件30余件，助力基层政府提升矛盾化解能力，减少行政争议上行。</w:t>
      </w:r>
      <w:r>
        <w:rPr>
          <w:rFonts w:hint="eastAsia" w:ascii="仿宋_GB2312" w:hAnsi="仿宋_GB2312" w:eastAsia="仿宋_GB2312" w:cs="仿宋_GB2312"/>
          <w:b/>
          <w:bCs/>
          <w:color w:val="auto"/>
          <w:kern w:val="2"/>
          <w:sz w:val="32"/>
          <w:szCs w:val="32"/>
          <w:lang w:val="en-US" w:eastAsia="zh-CN" w:bidi="ar-SA"/>
        </w:rPr>
        <w:t>三是强化法治宣传引导。</w:t>
      </w:r>
      <w:r>
        <w:rPr>
          <w:rFonts w:hint="eastAsia" w:ascii="仿宋_GB2312" w:hAnsi="仿宋_GB2312" w:eastAsia="仿宋_GB2312" w:cs="仿宋_GB2312"/>
          <w:color w:val="auto"/>
          <w:kern w:val="2"/>
          <w:sz w:val="32"/>
          <w:szCs w:val="32"/>
          <w:lang w:val="en-US" w:eastAsia="zh-CN" w:bidi="ar-SA"/>
        </w:rPr>
        <w:t>结合“八五”普法开展“订单式”宣传47场次，深入机关、乡村、学校等发放藏汉双语宣传资料6万余份，受教育群众2200余人次，邀请行政机关主要领导观摩职务犯罪庭审2次70余人，提升公职人员法治意识，引导群众依法理性维权。</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bookmarkStart w:id="4" w:name="heading_4"/>
      <w:r>
        <w:rPr>
          <w:rFonts w:hint="eastAsia" w:ascii="楷体_GB2312" w:hAnsi="楷体_GB2312" w:eastAsia="楷体_GB2312" w:cs="楷体_GB2312"/>
          <w:color w:val="auto"/>
          <w:kern w:val="2"/>
          <w:sz w:val="32"/>
          <w:szCs w:val="32"/>
          <w:lang w:val="en-US" w:eastAsia="zh-CN" w:bidi="ar-SA"/>
        </w:rPr>
        <w:t>（四）健全监督制约机制，规范司法与行政权力运行</w:t>
      </w:r>
      <w:bookmarkEnd w:id="4"/>
      <w:r>
        <w:rPr>
          <w:rFonts w:hint="eastAsia" w:ascii="楷体_GB2312" w:hAnsi="楷体_GB2312" w:eastAsia="楷体_GB2312" w:cs="楷体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构建多元监督体系，倒逼司法权与行政权规范运行。</w:t>
      </w:r>
      <w:r>
        <w:rPr>
          <w:rFonts w:hint="eastAsia" w:ascii="仿宋_GB2312" w:hAnsi="仿宋_GB2312" w:eastAsia="仿宋_GB2312" w:cs="仿宋_GB2312"/>
          <w:b/>
          <w:bCs/>
          <w:color w:val="auto"/>
          <w:kern w:val="2"/>
          <w:sz w:val="32"/>
          <w:szCs w:val="32"/>
          <w:lang w:val="en-US" w:eastAsia="zh-CN" w:bidi="ar-SA"/>
        </w:rPr>
        <w:t>一是强化内部监督。</w:t>
      </w:r>
      <w:r>
        <w:rPr>
          <w:rFonts w:hint="eastAsia" w:ascii="仿宋_GB2312" w:hAnsi="仿宋_GB2312" w:eastAsia="仿宋_GB2312" w:cs="仿宋_GB2312"/>
          <w:color w:val="auto"/>
          <w:kern w:val="2"/>
          <w:sz w:val="32"/>
          <w:szCs w:val="32"/>
          <w:lang w:val="en-US" w:eastAsia="zh-CN" w:bidi="ar-SA"/>
        </w:rPr>
        <w:t>完善审判管理制度，开展审判质效通报分析，院庭长阅核案件70余件，督促整改问题26个，规范审判流程节点管控，确保行政审判及相关工作依法开展。</w:t>
      </w:r>
      <w:r>
        <w:rPr>
          <w:rFonts w:hint="eastAsia" w:ascii="仿宋_GB2312" w:hAnsi="仿宋_GB2312" w:eastAsia="仿宋_GB2312" w:cs="仿宋_GB2312"/>
          <w:b/>
          <w:bCs/>
          <w:color w:val="auto"/>
          <w:kern w:val="2"/>
          <w:sz w:val="32"/>
          <w:szCs w:val="32"/>
          <w:lang w:val="en-US" w:eastAsia="zh-CN" w:bidi="ar-SA"/>
        </w:rPr>
        <w:t>二是主动接受外部监督。</w:t>
      </w:r>
      <w:r>
        <w:rPr>
          <w:rFonts w:hint="eastAsia" w:ascii="仿宋_GB2312" w:hAnsi="仿宋_GB2312" w:eastAsia="仿宋_GB2312" w:cs="仿宋_GB2312"/>
          <w:color w:val="auto"/>
          <w:kern w:val="2"/>
          <w:sz w:val="32"/>
          <w:szCs w:val="32"/>
          <w:lang w:val="en-US" w:eastAsia="zh-CN" w:bidi="ar-SA"/>
        </w:rPr>
        <w:t>向县人大专题报告工作</w:t>
      </w:r>
      <w:r>
        <w:rPr>
          <w:rFonts w:hint="eastAsia" w:ascii="仿宋_GB2312" w:hAnsi="仿宋_GB2312" w:eastAsia="仿宋_GB2312" w:cs="仿宋_GB2312"/>
          <w:color w:val="auto"/>
          <w:kern w:val="2"/>
          <w:sz w:val="32"/>
          <w:szCs w:val="32"/>
          <w:highlight w:val="none"/>
          <w:lang w:val="en-US" w:eastAsia="zh-CN" w:bidi="ar-SA"/>
        </w:rPr>
        <w:t>4</w:t>
      </w:r>
      <w:r>
        <w:rPr>
          <w:rFonts w:hint="eastAsia" w:ascii="仿宋_GB2312" w:hAnsi="仿宋_GB2312" w:eastAsia="仿宋_GB2312" w:cs="仿宋_GB2312"/>
          <w:color w:val="auto"/>
          <w:kern w:val="2"/>
          <w:sz w:val="32"/>
          <w:szCs w:val="32"/>
          <w:lang w:val="en-US" w:eastAsia="zh-CN" w:bidi="ar-SA"/>
        </w:rPr>
        <w:t>次，接受市委政法委、县检察院案件评查79件，整改问题5个，严格落实“三个规定”，填报记录138条，依托信息化平台公开审判流程信息400余条、裁判文书300余份、庭审活动173场次，让司法权在阳光下运行，为行政权力监督提供示范。</w:t>
      </w:r>
      <w:r>
        <w:rPr>
          <w:rFonts w:hint="eastAsia" w:ascii="仿宋_GB2312" w:hAnsi="仿宋_GB2312" w:eastAsia="仿宋_GB2312" w:cs="仿宋_GB2312"/>
          <w:b/>
          <w:bCs/>
          <w:color w:val="auto"/>
          <w:kern w:val="2"/>
          <w:sz w:val="32"/>
          <w:szCs w:val="32"/>
          <w:lang w:val="en-US" w:eastAsia="zh-CN" w:bidi="ar-SA"/>
        </w:rPr>
        <w:t>三是加强与监察机关协作。</w:t>
      </w:r>
      <w:r>
        <w:rPr>
          <w:rFonts w:hint="eastAsia" w:ascii="仿宋_GB2312" w:hAnsi="仿宋_GB2312" w:eastAsia="仿宋_GB2312" w:cs="仿宋_GB2312"/>
          <w:color w:val="auto"/>
          <w:kern w:val="2"/>
          <w:sz w:val="32"/>
          <w:szCs w:val="32"/>
          <w:lang w:val="en-US" w:eastAsia="zh-CN" w:bidi="ar-SA"/>
        </w:rPr>
        <w:t>做好职务犯罪案件涉案财物处置，移交公职人员违法犯罪线索，提供法律适用咨询，形成法治监督合力，推动公职人员依法履职。</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黑体" w:hAnsi="黑体" w:eastAsia="黑体" w:cs="黑体"/>
          <w:b w:val="0"/>
          <w:bCs w:val="0"/>
          <w:color w:val="auto"/>
          <w:kern w:val="2"/>
          <w:sz w:val="32"/>
          <w:szCs w:val="32"/>
          <w:lang w:val="en-US" w:eastAsia="zh-CN" w:bidi="ar-SA"/>
        </w:rPr>
      </w:pPr>
      <w:bookmarkStart w:id="5" w:name="heading_5"/>
      <w:r>
        <w:rPr>
          <w:rFonts w:hint="eastAsia" w:ascii="黑体" w:hAnsi="黑体" w:eastAsia="黑体" w:cs="黑体"/>
          <w:b w:val="0"/>
          <w:bCs w:val="0"/>
          <w:color w:val="auto"/>
          <w:kern w:val="2"/>
          <w:sz w:val="32"/>
          <w:szCs w:val="32"/>
          <w:lang w:val="en-US" w:eastAsia="zh-CN" w:bidi="ar-SA"/>
        </w:rPr>
        <w:t>二、上一年度推进法治政府建设存在的不足和原因</w:t>
      </w:r>
      <w:bookmarkEnd w:id="5"/>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bookmarkStart w:id="6" w:name="heading_6"/>
      <w:r>
        <w:rPr>
          <w:rFonts w:hint="eastAsia" w:ascii="楷体_GB2312" w:hAnsi="楷体_GB2312" w:eastAsia="楷体_GB2312" w:cs="楷体_GB2312"/>
          <w:color w:val="auto"/>
          <w:kern w:val="2"/>
          <w:sz w:val="32"/>
          <w:szCs w:val="32"/>
          <w:lang w:val="en-US" w:eastAsia="zh-CN" w:bidi="ar-SA"/>
        </w:rPr>
        <w:t>（一）存在的不足</w:t>
      </w:r>
      <w:bookmarkEnd w:id="6"/>
      <w:r>
        <w:rPr>
          <w:rFonts w:hint="eastAsia" w:ascii="楷体_GB2312" w:hAnsi="楷体_GB2312" w:eastAsia="楷体_GB2312" w:cs="楷体_GB2312"/>
          <w:color w:val="auto"/>
          <w:kern w:val="2"/>
          <w:sz w:val="32"/>
          <w:szCs w:val="32"/>
          <w:lang w:val="en-US" w:eastAsia="zh-CN" w:bidi="ar-SA"/>
        </w:rPr>
        <w:t>。</w:t>
      </w:r>
      <w:r>
        <w:rPr>
          <w:rFonts w:hint="eastAsia" w:ascii="仿宋_GB2312" w:hAnsi="仿宋_GB2312" w:eastAsia="仿宋_GB2312" w:cs="仿宋_GB2312"/>
          <w:b/>
          <w:bCs/>
          <w:color w:val="auto"/>
          <w:kern w:val="2"/>
          <w:sz w:val="32"/>
          <w:szCs w:val="32"/>
          <w:lang w:val="en-US" w:eastAsia="zh-CN" w:bidi="ar-SA"/>
        </w:rPr>
        <w:t>一是行政审判职能发挥不够充分。</w:t>
      </w:r>
      <w:r>
        <w:rPr>
          <w:rFonts w:hint="eastAsia" w:ascii="仿宋_GB2312" w:hAnsi="仿宋_GB2312" w:eastAsia="仿宋_GB2312" w:cs="仿宋_GB2312"/>
          <w:color w:val="auto"/>
          <w:kern w:val="2"/>
          <w:sz w:val="32"/>
          <w:szCs w:val="32"/>
          <w:lang w:val="en-US" w:eastAsia="zh-CN" w:bidi="ar-SA"/>
        </w:rPr>
        <w:t>行政案件数量偏少但类型单一，对新类型行政争议的研究和应对能力不足，通过行政审判倒逼行政机关规范执法的针对性和实效性有待提升，部分案件存在“就案办案”现象，实质化解行政争议的力度不够。</w:t>
      </w:r>
      <w:r>
        <w:rPr>
          <w:rFonts w:hint="eastAsia" w:ascii="仿宋_GB2312" w:hAnsi="仿宋_GB2312" w:eastAsia="仿宋_GB2312" w:cs="仿宋_GB2312"/>
          <w:b/>
          <w:bCs/>
          <w:color w:val="auto"/>
          <w:kern w:val="2"/>
          <w:sz w:val="32"/>
          <w:szCs w:val="32"/>
          <w:lang w:val="en-US" w:eastAsia="zh-CN" w:bidi="ar-SA"/>
        </w:rPr>
        <w:t>二是府院联动机制深化不足。</w:t>
      </w:r>
      <w:r>
        <w:rPr>
          <w:rFonts w:hint="eastAsia" w:ascii="仿宋_GB2312" w:hAnsi="仿宋_GB2312" w:eastAsia="仿宋_GB2312" w:cs="仿宋_GB2312"/>
          <w:color w:val="auto"/>
          <w:kern w:val="2"/>
          <w:sz w:val="32"/>
          <w:szCs w:val="32"/>
          <w:lang w:val="en-US" w:eastAsia="zh-CN" w:bidi="ar-SA"/>
        </w:rPr>
        <w:t>与行政机关的常态化会商、信息共享机制不够健全，在行政争议源头预防、重大行政决策风险评估、行政执法标准统一等方面的协作深度不够，对行政执法中普遍性、倾向性问题的分析研判和对策建议不够精准。</w:t>
      </w:r>
      <w:r>
        <w:rPr>
          <w:rFonts w:hint="eastAsia" w:ascii="仿宋_GB2312" w:hAnsi="仿宋_GB2312" w:eastAsia="仿宋_GB2312" w:cs="仿宋_GB2312"/>
          <w:b/>
          <w:bCs/>
          <w:color w:val="auto"/>
          <w:kern w:val="2"/>
          <w:sz w:val="32"/>
          <w:szCs w:val="32"/>
          <w:lang w:val="en-US" w:eastAsia="zh-CN" w:bidi="ar-SA"/>
        </w:rPr>
        <w:t>三是法治宣传针对性有待加强。</w:t>
      </w:r>
      <w:r>
        <w:rPr>
          <w:rFonts w:hint="eastAsia" w:ascii="仿宋_GB2312" w:hAnsi="仿宋_GB2312" w:eastAsia="仿宋_GB2312" w:cs="仿宋_GB2312"/>
          <w:color w:val="auto"/>
          <w:kern w:val="2"/>
          <w:sz w:val="32"/>
          <w:szCs w:val="32"/>
          <w:lang w:val="en-US" w:eastAsia="zh-CN" w:bidi="ar-SA"/>
        </w:rPr>
        <w:t>针对行政机关工作人员的法治培训形式较为单一，多以庭审观摩、集中宣传为主，结合行政执法难点、重点的“定制化”培训不足，对农牧区群众的法治宣传内容与行政领域相关度不高，引导群众理解支持依法行政的效果有待提升。</w:t>
      </w:r>
      <w:r>
        <w:rPr>
          <w:rFonts w:hint="eastAsia" w:ascii="仿宋_GB2312" w:hAnsi="仿宋_GB2312" w:eastAsia="仿宋_GB2312" w:cs="仿宋_GB2312"/>
          <w:b/>
          <w:bCs/>
          <w:color w:val="auto"/>
          <w:kern w:val="2"/>
          <w:sz w:val="32"/>
          <w:szCs w:val="32"/>
          <w:lang w:val="en-US" w:eastAsia="zh-CN" w:bidi="ar-SA"/>
        </w:rPr>
        <w:t>四是基层司法服务与法治政府建设衔接不够紧密。</w:t>
      </w:r>
      <w:r>
        <w:rPr>
          <w:rFonts w:hint="eastAsia" w:ascii="仿宋_GB2312" w:hAnsi="仿宋_GB2312" w:eastAsia="仿宋_GB2312" w:cs="仿宋_GB2312"/>
          <w:color w:val="auto"/>
          <w:kern w:val="2"/>
          <w:sz w:val="32"/>
          <w:szCs w:val="32"/>
          <w:lang w:val="en-US" w:eastAsia="zh-CN" w:bidi="ar-SA"/>
        </w:rPr>
        <w:t>巡回审判对乡镇行政工作的支撑作用发挥不突出，法官与乡（镇）、村（居）的沟通对接不畅，上门立案、现场调解的主动性不足，助力基层政府提升法治治理能力的举措不够丰富。</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bookmarkStart w:id="7" w:name="heading_7"/>
      <w:r>
        <w:rPr>
          <w:rFonts w:hint="eastAsia" w:ascii="楷体_GB2312" w:hAnsi="楷体_GB2312" w:eastAsia="楷体_GB2312" w:cs="楷体_GB2312"/>
          <w:color w:val="auto"/>
          <w:kern w:val="2"/>
          <w:sz w:val="32"/>
          <w:szCs w:val="32"/>
          <w:lang w:val="en-US" w:eastAsia="zh-CN" w:bidi="ar-SA"/>
        </w:rPr>
        <w:t>（二）原因分析</w:t>
      </w:r>
      <w:bookmarkEnd w:id="7"/>
      <w:r>
        <w:rPr>
          <w:rFonts w:hint="eastAsia" w:ascii="楷体_GB2312" w:hAnsi="楷体_GB2312" w:eastAsia="楷体_GB2312" w:cs="楷体_GB2312"/>
          <w:color w:val="auto"/>
          <w:kern w:val="2"/>
          <w:sz w:val="32"/>
          <w:szCs w:val="32"/>
          <w:lang w:val="en-US" w:eastAsia="zh-CN" w:bidi="ar-SA"/>
        </w:rPr>
        <w:t>。</w:t>
      </w:r>
      <w:r>
        <w:rPr>
          <w:rFonts w:hint="eastAsia" w:ascii="仿宋_GB2312" w:hAnsi="仿宋_GB2312" w:eastAsia="仿宋_GB2312" w:cs="仿宋_GB2312"/>
          <w:b/>
          <w:bCs/>
          <w:color w:val="auto"/>
          <w:kern w:val="2"/>
          <w:sz w:val="32"/>
          <w:szCs w:val="32"/>
          <w:lang w:val="en-US" w:eastAsia="zh-CN" w:bidi="ar-SA"/>
        </w:rPr>
        <w:t>一是思想认识层面。</w:t>
      </w:r>
      <w:r>
        <w:rPr>
          <w:rFonts w:hint="eastAsia" w:ascii="仿宋_GB2312" w:hAnsi="仿宋_GB2312" w:eastAsia="仿宋_GB2312" w:cs="仿宋_GB2312"/>
          <w:color w:val="auto"/>
          <w:kern w:val="2"/>
          <w:sz w:val="32"/>
          <w:szCs w:val="32"/>
          <w:lang w:val="en-US" w:eastAsia="zh-CN" w:bidi="ar-SA"/>
        </w:rPr>
        <w:t>对法院在法治政府建设中“监督、支持、保障”的多重角色定位把握不够精准，部分干警存在重案件审理、轻职能延伸的倾向，主动融入法治政府建设大局的意识有待强化。</w:t>
      </w:r>
      <w:r>
        <w:rPr>
          <w:rFonts w:hint="eastAsia" w:ascii="仿宋_GB2312" w:hAnsi="仿宋_GB2312" w:eastAsia="仿宋_GB2312" w:cs="仿宋_GB2312"/>
          <w:b/>
          <w:bCs/>
          <w:color w:val="auto"/>
          <w:kern w:val="2"/>
          <w:sz w:val="32"/>
          <w:szCs w:val="32"/>
          <w:lang w:val="en-US" w:eastAsia="zh-CN" w:bidi="ar-SA"/>
        </w:rPr>
        <w:t>二是队伍能力层面。</w:t>
      </w:r>
      <w:r>
        <w:rPr>
          <w:rFonts w:hint="eastAsia" w:ascii="仿宋_GB2312" w:hAnsi="仿宋_GB2312" w:eastAsia="仿宋_GB2312" w:cs="仿宋_GB2312"/>
          <w:color w:val="auto"/>
          <w:kern w:val="2"/>
          <w:sz w:val="32"/>
          <w:szCs w:val="32"/>
          <w:lang w:val="en-US" w:eastAsia="zh-CN" w:bidi="ar-SA"/>
        </w:rPr>
        <w:t>行政审判专业人才较为匮乏，干警应对复杂行政争议、参与行政决策论证的能力不足，加之藏区双语司法人才培养周期长，难以完全适配法治政府建设对专业化司法服务的需求。</w:t>
      </w:r>
      <w:r>
        <w:rPr>
          <w:rFonts w:hint="eastAsia" w:ascii="仿宋_GB2312" w:hAnsi="仿宋_GB2312" w:eastAsia="仿宋_GB2312" w:cs="仿宋_GB2312"/>
          <w:b/>
          <w:bCs/>
          <w:color w:val="auto"/>
          <w:kern w:val="2"/>
          <w:sz w:val="32"/>
          <w:szCs w:val="32"/>
          <w:lang w:val="en-US" w:eastAsia="zh-CN" w:bidi="ar-SA"/>
        </w:rPr>
        <w:t>三是机制建设层面。</w:t>
      </w:r>
      <w:r>
        <w:rPr>
          <w:rFonts w:hint="eastAsia" w:ascii="仿宋_GB2312" w:hAnsi="仿宋_GB2312" w:eastAsia="仿宋_GB2312" w:cs="仿宋_GB2312"/>
          <w:color w:val="auto"/>
          <w:kern w:val="2"/>
          <w:sz w:val="32"/>
          <w:szCs w:val="32"/>
          <w:lang w:val="en-US" w:eastAsia="zh-CN" w:bidi="ar-SA"/>
        </w:rPr>
        <w:t>府院联动缺乏制度化、规范化支撑，部分协作事项停留在表面，未形成“发现问题—分析研判—反馈整改—跟踪问效”的闭环机制，导致协作效能未能充分释放。</w:t>
      </w:r>
      <w:r>
        <w:rPr>
          <w:rFonts w:hint="eastAsia" w:ascii="仿宋_GB2312" w:hAnsi="仿宋_GB2312" w:eastAsia="仿宋_GB2312" w:cs="仿宋_GB2312"/>
          <w:b/>
          <w:bCs/>
          <w:color w:val="auto"/>
          <w:kern w:val="2"/>
          <w:sz w:val="32"/>
          <w:szCs w:val="32"/>
          <w:lang w:val="en-US" w:eastAsia="zh-CN" w:bidi="ar-SA"/>
        </w:rPr>
        <w:t>四是资源保障层面。</w:t>
      </w:r>
      <w:r>
        <w:rPr>
          <w:rFonts w:hint="eastAsia" w:ascii="仿宋_GB2312" w:hAnsi="仿宋_GB2312" w:eastAsia="仿宋_GB2312" w:cs="仿宋_GB2312"/>
          <w:color w:val="auto"/>
          <w:kern w:val="2"/>
          <w:sz w:val="32"/>
          <w:szCs w:val="32"/>
          <w:lang w:val="en-US" w:eastAsia="zh-CN" w:bidi="ar-SA"/>
        </w:rPr>
        <w:t>受案多人少矛盾影响，干警精力多集中在案件审执上，投入法治宣传、基层协作、机制创新等工作的时间和精力有限，加之信息化建设与行政机关对接不够顺畅，数据共享存在壁垒，制约工作开展。</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黑体" w:hAnsi="黑体" w:eastAsia="黑体" w:cs="黑体"/>
          <w:b w:val="0"/>
          <w:bCs w:val="0"/>
          <w:color w:val="auto"/>
          <w:kern w:val="2"/>
          <w:sz w:val="32"/>
          <w:szCs w:val="32"/>
          <w:lang w:val="en-US" w:eastAsia="zh-CN" w:bidi="ar-SA"/>
        </w:rPr>
      </w:pPr>
      <w:bookmarkStart w:id="8" w:name="heading_8"/>
      <w:r>
        <w:rPr>
          <w:rFonts w:hint="eastAsia" w:ascii="黑体" w:hAnsi="黑体" w:eastAsia="黑体" w:cs="黑体"/>
          <w:b w:val="0"/>
          <w:bCs w:val="0"/>
          <w:color w:val="auto"/>
          <w:kern w:val="2"/>
          <w:sz w:val="32"/>
          <w:szCs w:val="32"/>
          <w:lang w:val="en-US" w:eastAsia="zh-CN" w:bidi="ar-SA"/>
        </w:rPr>
        <w:t>三、上一年度党政主要负责人履行推进法治建设第一责任人职责加强法治政府建设的有关情况</w:t>
      </w:r>
      <w:bookmarkEnd w:id="8"/>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我院党组书记作为推进法治建设第一责任人，始终将法治政府建设纳入法院工作全局，牵头抓总、履职尽责，推动各项工作落地落实。</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（一）强化政治引领，压实工作责任。</w:t>
      </w:r>
      <w:r>
        <w:rPr>
          <w:rFonts w:hint="eastAsia" w:ascii="仿宋_GB2312" w:hAnsi="仿宋_GB2312" w:eastAsia="仿宋_GB2312" w:cs="仿宋_GB2312"/>
          <w:color w:val="auto"/>
          <w:kern w:val="2"/>
          <w:sz w:val="32"/>
          <w:szCs w:val="32"/>
          <w:lang w:val="en-US" w:eastAsia="zh-CN" w:bidi="ar-SA"/>
        </w:rPr>
        <w:t>坚持党对法院工作的绝对领导，将习近平法治思想、法治政府建设相关部署纳入党组理论学习中心组学习9次、集中学习40余次，带头开展反分裂斗争教育和廉政警示教育，推动干警筑牢法治思想根基。严格落实“一岗双责”，将法治政府建设任务分解至各庭室、各岗位，定期召开党组会议研究法治政府建设工作，全年向县委、县委政法委报告重大事项20余次，主动争取党委对法院参与法治政府建设的领导和支持。</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（二）带头依法履职，提升司法质效。</w:t>
      </w:r>
      <w:r>
        <w:rPr>
          <w:rFonts w:hint="eastAsia" w:ascii="仿宋_GB2312" w:hAnsi="仿宋_GB2312" w:eastAsia="仿宋_GB2312" w:cs="仿宋_GB2312"/>
          <w:color w:val="auto"/>
          <w:kern w:val="2"/>
          <w:sz w:val="32"/>
          <w:szCs w:val="32"/>
          <w:lang w:val="en-US" w:eastAsia="zh-CN" w:bidi="ar-SA"/>
        </w:rPr>
        <w:t>带头办理重大疑难案件，主持审委会讨论行政及相关案件，严把案件质量关，推动行政审判工作规范化开展。牵头深化司法改革，推进“分调裁审”“一站式”诉讼服务等机制创新，优化司法资源配置，提升服务法治政府建设的效能。带头落实府院联动机制，主动与县政府主要负责人沟通协调，推动重大行政决策合法性审查、行政争议化解等协作事项落地，全年开展谈心谈话35人次，督促班子成员及干警依法履职。</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（三）狠抓队伍建设，夯实法治根基。</w:t>
      </w:r>
      <w:r>
        <w:rPr>
          <w:rFonts w:hint="eastAsia" w:ascii="仿宋_GB2312" w:hAnsi="仿宋_GB2312" w:eastAsia="仿宋_GB2312" w:cs="仿宋_GB2312"/>
          <w:color w:val="auto"/>
          <w:kern w:val="2"/>
          <w:sz w:val="32"/>
          <w:szCs w:val="32"/>
          <w:lang w:val="en-US" w:eastAsia="zh-CN" w:bidi="ar-SA"/>
        </w:rPr>
        <w:t>牵头开展“大学习、大培训、大练兵”活动，选派30余人次干警参加各类培训，组织“法官讲堂”4场，提升干警行政审判、法治宣传等专业能力。推动打造“清廉法院”，开展警示教育9场次、司法作风督察6次，签订《廉洁从业承诺书》30余份，带头落实中央八项规定精神，严肃查处违纪干警，营造风清气正的司法环境，为参与法治政府建设提供队伍保障。</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（四）深化示范引领，推动协同发力。</w:t>
      </w:r>
      <w:r>
        <w:rPr>
          <w:rFonts w:hint="eastAsia" w:ascii="仿宋_GB2312" w:hAnsi="仿宋_GB2312" w:eastAsia="仿宋_GB2312" w:cs="仿宋_GB2312"/>
          <w:color w:val="auto"/>
          <w:kern w:val="2"/>
          <w:sz w:val="32"/>
          <w:szCs w:val="32"/>
          <w:lang w:val="en-US" w:eastAsia="zh-CN" w:bidi="ar-SA"/>
        </w:rPr>
        <w:t>带头开展法治宣传，深入乡村、机关讲授法治党课，组织干警开展双语普法，推动法治理念深入人心。牵头创建自治区级民族团结进步模范单位，将法治政府建设与民族团结工作深度融合，引导干警在司法工作中践行法治精神，带动行政机关公职人员提升法治意识，形成推进法治政府建设的合力。</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黑体" w:hAnsi="黑体" w:eastAsia="黑体" w:cs="黑体"/>
          <w:color w:val="auto"/>
          <w:kern w:val="2"/>
          <w:sz w:val="32"/>
          <w:szCs w:val="32"/>
          <w:lang w:val="en-US" w:eastAsia="zh-CN" w:bidi="ar-SA"/>
        </w:rPr>
      </w:pPr>
      <w:bookmarkStart w:id="9" w:name="heading_9"/>
      <w:r>
        <w:rPr>
          <w:rFonts w:hint="eastAsia" w:ascii="黑体" w:hAnsi="黑体" w:eastAsia="黑体" w:cs="黑体"/>
          <w:color w:val="auto"/>
          <w:kern w:val="2"/>
          <w:sz w:val="32"/>
          <w:szCs w:val="32"/>
          <w:lang w:val="en-US" w:eastAsia="zh-CN" w:bidi="ar-SA"/>
        </w:rPr>
        <w:t>四、下一年度推进法治政府建设的主要安排</w:t>
      </w:r>
      <w:bookmarkEnd w:id="9"/>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2026年是“十五五”规划开局之年，我院将以更高标准、更实举措履行司法职能，全力助推法治政府建设再上新台阶。</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（一）强化政治引领，锚定法治政府建设方向。</w:t>
      </w:r>
      <w:r>
        <w:rPr>
          <w:rFonts w:hint="eastAsia" w:ascii="仿宋_GB2312" w:hAnsi="仿宋_GB2312" w:eastAsia="仿宋_GB2312" w:cs="仿宋_GB2312"/>
          <w:color w:val="auto"/>
          <w:kern w:val="2"/>
          <w:sz w:val="32"/>
          <w:szCs w:val="32"/>
          <w:lang w:val="en-US" w:eastAsia="zh-CN" w:bidi="ar-SA"/>
        </w:rPr>
        <w:t>持续深入学习贯彻习近平法治思想，将法治政府建设纳入法院年度重点工作，深刻领悟“两个确立”的决定性意义，增强“四个意识”、坚定“四个自信”、做到“两个维护”，始终坚持党对法院工作的绝对领导，确保法院参与法治政府建设工作始终沿着正确方向前进，精准对接县委六大县域总体发展思路，主动服务法治政府建设大局。</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（二）深化行政审判，强化依法行政司法监督。</w:t>
      </w:r>
      <w:r>
        <w:rPr>
          <w:rFonts w:hint="eastAsia" w:ascii="仿宋_GB2312" w:hAnsi="仿宋_GB2312" w:eastAsia="仿宋_GB2312" w:cs="仿宋_GB2312"/>
          <w:color w:val="auto"/>
          <w:kern w:val="2"/>
          <w:sz w:val="32"/>
          <w:szCs w:val="32"/>
          <w:lang w:val="en-US" w:eastAsia="zh-CN" w:bidi="ar-SA"/>
        </w:rPr>
        <w:t>聚焦行政诉讼主责主业，加强对新类型行政争议的研究，提升案件审理质效，注重实质化解行政争议，防止“一案结、多案生”。健全府院联动常态化机制，定期与行政机关开展会商，通报行政审判中发现的执法问题，提供精准法律建议，推动行政机关规范执法流程。落实行政机关负责人出庭应诉制度，提升出庭应诉质效，开展行政执法人员司法培训，统一执法司法标准。</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（三）优化服务保障，赋能法治政府建设提质。</w:t>
      </w:r>
      <w:r>
        <w:rPr>
          <w:rFonts w:hint="eastAsia" w:ascii="仿宋_GB2312" w:hAnsi="仿宋_GB2312" w:eastAsia="仿宋_GB2312" w:cs="仿宋_GB2312"/>
          <w:color w:val="auto"/>
          <w:kern w:val="2"/>
          <w:sz w:val="32"/>
          <w:szCs w:val="32"/>
          <w:lang w:val="en-US" w:eastAsia="zh-CN" w:bidi="ar-SA"/>
        </w:rPr>
        <w:t>聚焦经济社会发展，依法审理涉营商环境、乡村振兴、公共服务等领域案件，严厉打击职务犯罪，助力廉洁政府建设。深化“一站式”诉讼服务体系建设，推进与行政机关数据共享，实现行政争议线上调解、线上立案，提升纠纷化解效率。强化执行工作，规范非诉行政执行审查，推动行政机关主动履行生效裁判，维护司法权威和行政公信力。</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（四）强化法治宣传，筑牢法治政府建设根基。</w:t>
      </w:r>
      <w:r>
        <w:rPr>
          <w:rFonts w:hint="eastAsia" w:ascii="仿宋_GB2312" w:hAnsi="仿宋_GB2312" w:eastAsia="仿宋_GB2312" w:cs="仿宋_GB2312"/>
          <w:color w:val="auto"/>
          <w:kern w:val="2"/>
          <w:sz w:val="32"/>
          <w:szCs w:val="32"/>
          <w:lang w:val="en-US" w:eastAsia="zh-CN" w:bidi="ar-SA"/>
        </w:rPr>
        <w:t>创新普法形式，针对行政机关开展“定制化”执法培训，结合典型案例开展以案释法，提升公职人员法治素养。深入推进双语普法，编制针对性强的行政领域法治宣传资料，加大对农牧区群众的宣传力度，引导群众依法维权、支持依法行政。发挥人民法庭前沿阵地作用，深化巡回审判，联动基层政府开展矛盾化解，推动法治理念向基层延伸。</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（五）锻造过硬队伍，夯实法治政府建设保障。</w:t>
      </w:r>
      <w:r>
        <w:rPr>
          <w:rFonts w:hint="eastAsia" w:ascii="仿宋_GB2312" w:hAnsi="仿宋_GB2312" w:eastAsia="仿宋_GB2312" w:cs="仿宋_GB2312"/>
          <w:color w:val="auto"/>
          <w:kern w:val="2"/>
          <w:sz w:val="32"/>
          <w:szCs w:val="32"/>
          <w:lang w:val="en-US" w:eastAsia="zh-CN" w:bidi="ar-SA"/>
        </w:rPr>
        <w:t>坚持革命化、正规化、专业化、职业化队伍建设方向，加强行政审判专业人才培养，选派干警交流学习，提升应对复杂行政争议的能力。持续深化作风整顿，严格落实中央八项规定精神，开展常态化廉政警示教育，筑牢干警廉洁底线。树立重实干、重实绩的用人导向，激励干警担当作为，打造一支忠诚干净担当的高素质司法队伍，为法治政府建设提供有力支撑。</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黑体" w:hAnsi="黑体" w:eastAsia="黑体" w:cs="黑体"/>
          <w:b w:val="0"/>
          <w:bCs w:val="0"/>
          <w:color w:val="auto"/>
          <w:kern w:val="2"/>
          <w:sz w:val="32"/>
          <w:szCs w:val="32"/>
          <w:lang w:val="en-US" w:eastAsia="zh-CN" w:bidi="ar-SA"/>
        </w:rPr>
      </w:pPr>
      <w:bookmarkStart w:id="10" w:name="heading_10"/>
      <w:r>
        <w:rPr>
          <w:rFonts w:hint="eastAsia" w:ascii="黑体" w:hAnsi="黑体" w:eastAsia="黑体" w:cs="黑体"/>
          <w:b w:val="0"/>
          <w:bCs w:val="0"/>
          <w:color w:val="auto"/>
          <w:kern w:val="2"/>
          <w:sz w:val="32"/>
          <w:szCs w:val="32"/>
          <w:lang w:val="en-US" w:eastAsia="zh-CN" w:bidi="ar-SA"/>
        </w:rPr>
        <w:t>五、其他需要报告的情况</w:t>
      </w:r>
      <w:bookmarkEnd w:id="10"/>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2025年，我院在推进法治政府建设工作中，得到了县委、县人大、县政府、县政协及上级法院的大力支持，各项工作取得阶段性成效，但也存在诸多不足。下一步，我院将主动接受各方监督，积极争取支持，不断补短板、强弱项，切实履行好司法机关在法治政府建设中的职责使命。同时，恳请县委、县政府协调解决法院在行政审判专业人才培养、信息化建设与行政机关对接等方面的困难，助力法院更好地服务法治政府建设。</w:t>
      </w: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textAlignment w:val="auto"/>
        <w:rPr>
          <w:rFonts w:hint="eastAsia"/>
          <w:lang w:val="en-US" w:eastAsia="zh-CN"/>
        </w:rPr>
      </w:pP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40" w:firstLineChars="200"/>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左贡县人民法院</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40" w:firstLineChars="200"/>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2026年3月9日</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（此页无正文）</w:t>
      </w: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bookmarkStart w:id="11" w:name="_GoBack"/>
      <w:bookmarkEnd w:id="11"/>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firstLine="0" w:firstLineChars="0"/>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157" w:beforeLines="50" w:line="576" w:lineRule="exact"/>
        <w:jc w:val="both"/>
        <w:textAlignment w:val="auto"/>
        <w:rPr>
          <w:rFonts w:hint="default" w:ascii="Times New Roman" w:hAnsi="Times New Roman" w:cs="Times New Roman"/>
          <w:szCs w:val="28"/>
        </w:rPr>
      </w:pPr>
    </w:p>
    <w:p>
      <w:pPr>
        <w:keepNext w:val="0"/>
        <w:keepLines w:val="0"/>
        <w:pageBreakBefore w:val="0"/>
        <w:widowControl w:val="0"/>
        <w:kinsoku/>
        <w:wordWrap/>
        <w:overflowPunct/>
        <w:topLinePunct w:val="0"/>
        <w:autoSpaceDE/>
        <w:autoSpaceDN/>
        <w:bidi w:val="0"/>
        <w:adjustRightInd/>
        <w:snapToGrid/>
        <w:spacing w:before="157" w:beforeLines="50" w:line="576" w:lineRule="exact"/>
        <w:jc w:val="both"/>
        <w:textAlignment w:val="auto"/>
        <w:rPr>
          <w:rFonts w:hint="default" w:ascii="Times New Roman" w:hAnsi="Times New Roman" w:cs="Times New Roman"/>
          <w:szCs w:val="28"/>
        </w:rPr>
      </w:pPr>
      <w:r>
        <w:rPr>
          <w:rFonts w:hint="default" w:ascii="Times New Roman" w:hAnsi="Times New Roman" w:cs="Times New Roman"/>
          <w:szCs w:val="28"/>
        </w:rPr>
        <w:pict>
          <v:rect id="_x0000_i1025" o:spt="1" style="height:0.75pt;width:442.2pt;" fillcolor="#000000" filled="t" stroked="f" coordsize="21600,21600" o:hr="t" o:hrstd="t" o:hrnoshade="t" o:hralign="center">
            <v:path/>
            <v:fill on="t" focussize="0,0"/>
            <v:stroke on="f"/>
            <v:imagedata o:title=""/>
            <o:lock v:ext="edit"/>
            <w10:wrap type="none"/>
            <w10:anchorlock/>
          </v:rect>
        </w:pict>
      </w:r>
    </w:p>
    <w:p>
      <w:pPr>
        <w:keepNext w:val="0"/>
        <w:keepLines w:val="0"/>
        <w:pageBreakBefore w:val="0"/>
        <w:widowControl w:val="0"/>
        <w:kinsoku/>
        <w:wordWrap/>
        <w:overflowPunct/>
        <w:topLinePunct w:val="0"/>
        <w:autoSpaceDE/>
        <w:autoSpaceDN/>
        <w:bidi w:val="0"/>
        <w:adjustRightInd/>
        <w:snapToGrid/>
        <w:spacing w:line="576" w:lineRule="exact"/>
        <w:ind w:left="420" w:leftChars="200"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左贡县人民法院政治部</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日印发</w:t>
      </w:r>
    </w:p>
    <w:p>
      <w:r>
        <w:rPr>
          <w:rFonts w:hint="default" w:ascii="Times New Roman" w:hAnsi="Times New Roman" w:cs="Times New Roman"/>
          <w:szCs w:val="28"/>
        </w:rPr>
        <w:pict>
          <v:rect id="_x0000_i1026" o:spt="1" style="height:1.5pt;width:442.2pt;" fillcolor="#000000" filled="t" stroked="f" coordsize="21600,21600" o:hr="t" o:hrstd="t" o:hrnoshade="t" o:hralign="center">
            <v:path/>
            <v:fill on="t" focussize="0,0"/>
            <v:stroke on="f"/>
            <v:imagedata o:title=""/>
            <o:lock v:ext="edit"/>
            <w10:wrap type="none"/>
            <w10:anchorlock/>
          </v:rect>
        </w:pict>
      </w:r>
    </w:p>
    <w:sectPr>
      <w:footerReference r:id="rId3" w:type="default"/>
      <w:pgSz w:w="11905" w:h="16840"/>
      <w:pgMar w:top="2098" w:right="1474" w:bottom="1984" w:left="1587"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BZDBT">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E046D"/>
    <w:rsid w:val="00531029"/>
    <w:rsid w:val="06187C8D"/>
    <w:rsid w:val="17DFA232"/>
    <w:rsid w:val="1A9E046D"/>
    <w:rsid w:val="1FDF0510"/>
    <w:rsid w:val="231A3FD0"/>
    <w:rsid w:val="2DDB85F6"/>
    <w:rsid w:val="36FB0E92"/>
    <w:rsid w:val="3CF43D20"/>
    <w:rsid w:val="3FED7A0A"/>
    <w:rsid w:val="50C112D7"/>
    <w:rsid w:val="51537FFF"/>
    <w:rsid w:val="623E733C"/>
    <w:rsid w:val="73D671D8"/>
    <w:rsid w:val="74306560"/>
    <w:rsid w:val="7A1B4313"/>
    <w:rsid w:val="7FBE7698"/>
    <w:rsid w:val="8D9FD1A9"/>
    <w:rsid w:val="8EDE0955"/>
    <w:rsid w:val="953BE9A4"/>
    <w:rsid w:val="9BFB64DD"/>
    <w:rsid w:val="C9EBECC7"/>
    <w:rsid w:val="CEDF0232"/>
    <w:rsid w:val="F7AFB1D9"/>
    <w:rsid w:val="F7BFCDA1"/>
    <w:rsid w:val="FD8F6CCD"/>
    <w:rsid w:val="FECF9D04"/>
    <w:rsid w:val="FFDD367E"/>
    <w:rsid w:val="FFFF8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Body Text Indent"/>
    <w:basedOn w:val="1"/>
    <w:qFormat/>
    <w:uiPriority w:val="0"/>
    <w:pPr>
      <w:widowControl/>
      <w:spacing w:before="100" w:beforeAutospacing="1" w:after="100" w:afterAutospacing="1"/>
      <w:jc w:val="left"/>
    </w:pPr>
    <w:rPr>
      <w:rFonts w:ascii="宋体" w:hAnsi="宋体" w:cs="宋体"/>
      <w:kern w:val="0"/>
      <w:sz w:val="24"/>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2"/>
    <w:basedOn w:val="3"/>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3</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2026-01-22T23:48:00Z</dcterms:created>
  <dc:creator>来瓶250°的82年雪碧</dc:creator>
  <cp:lastModifiedBy>xzfy</cp:lastModifiedBy>
  <cp:lastPrinted>2026-03-09T12:37:18Z</cp:lastPrinted>
  <dcterms:modified xsi:type="dcterms:W3CDTF">2026-03-09T12:38:53Z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4F04F93AF97B45869A208DE5F540FF1A_11</vt:lpwstr>
  </property>
  <property fmtid="{D5CDD505-2E9C-101B-9397-08002B2CF9AE}" pid="4" name="KSOTemplateDocerSaveRecord">
    <vt:lpwstr>eyJoZGlkIjoiMjY3OWE4MDVjMTI3NWMzOTg3N2NhODA3NDU4NTcwZWQiLCJ1c2VySWQiOiI0MDkxMzI1NjkifQ==</vt:lpwstr>
  </property>
</Properties>
</file>